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3F35D" w14:textId="542D43E1" w:rsidR="003F012A" w:rsidRPr="002901C0" w:rsidRDefault="003F012A" w:rsidP="003F012A">
      <w:pPr>
        <w:pStyle w:val="NormalnyWeb"/>
        <w:rPr>
          <w:rFonts w:asciiTheme="minorHAnsi" w:hAnsiTheme="minorHAnsi"/>
          <w:sz w:val="20"/>
          <w:szCs w:val="20"/>
        </w:rPr>
      </w:pPr>
      <w:r w:rsidRPr="002901C0">
        <w:rPr>
          <w:rStyle w:val="Nagwek1Znak"/>
          <w:rFonts w:asciiTheme="minorHAnsi" w:hAnsiTheme="minorHAnsi"/>
          <w:sz w:val="20"/>
          <w:szCs w:val="20"/>
        </w:rPr>
        <w:t>Zadanie</w:t>
      </w:r>
      <w:r w:rsidR="00D14BE6">
        <w:rPr>
          <w:rStyle w:val="Nagwek1Znak"/>
          <w:rFonts w:asciiTheme="minorHAnsi" w:hAnsiTheme="minorHAnsi"/>
          <w:sz w:val="20"/>
          <w:szCs w:val="20"/>
        </w:rPr>
        <w:t xml:space="preserve"> </w:t>
      </w:r>
      <w:r w:rsidR="00D53C91">
        <w:rPr>
          <w:rStyle w:val="Nagwek1Znak"/>
          <w:rFonts w:asciiTheme="minorHAnsi" w:hAnsiTheme="minorHAnsi"/>
          <w:sz w:val="20"/>
          <w:szCs w:val="20"/>
        </w:rPr>
        <w:t>nr 7</w:t>
      </w:r>
      <w:r w:rsidR="000D688A">
        <w:rPr>
          <w:rStyle w:val="Nagwek1Znak"/>
          <w:rFonts w:asciiTheme="minorHAnsi" w:hAnsiTheme="minorHAnsi"/>
          <w:sz w:val="20"/>
          <w:szCs w:val="20"/>
        </w:rPr>
        <w:t>-</w:t>
      </w:r>
      <w:r w:rsidRPr="002901C0">
        <w:rPr>
          <w:rStyle w:val="Nagwek1Znak"/>
          <w:rFonts w:asciiTheme="minorHAnsi" w:hAnsiTheme="minorHAnsi"/>
          <w:sz w:val="20"/>
          <w:szCs w:val="20"/>
        </w:rPr>
        <w:t xml:space="preserve"> </w:t>
      </w:r>
      <w:r w:rsidR="000D688A">
        <w:rPr>
          <w:rStyle w:val="Nagwek1Znak"/>
          <w:rFonts w:asciiTheme="minorHAnsi" w:hAnsiTheme="minorHAnsi"/>
          <w:sz w:val="20"/>
          <w:szCs w:val="20"/>
        </w:rPr>
        <w:t>Dostawa wraz z wdrożeniem systemu P-LIS (HIS/LIS) i integracją z HIS</w:t>
      </w:r>
      <w:r w:rsidRPr="002901C0">
        <w:rPr>
          <w:rFonts w:asciiTheme="minorHAnsi" w:hAnsiTheme="minorHAnsi"/>
          <w:sz w:val="20"/>
          <w:szCs w:val="20"/>
        </w:rPr>
        <w:br/>
        <w:t>Celem zadania jest zakup licencji na system P-LIS oraz jego wdrożenie w środowisku Zamawiającego, obejmujące instalację, konfigurację, integrację z istniejącymi systemami, szkolenie personelu oraz zapewnienie pełnej funkcjonalności systemu zgodnie z wymaganiami Zamawiającego.</w:t>
      </w:r>
    </w:p>
    <w:p w14:paraId="06DC21A3" w14:textId="3F240E53" w:rsidR="003F012A" w:rsidRPr="002901C0" w:rsidRDefault="003F012A" w:rsidP="00D065DE">
      <w:pPr>
        <w:jc w:val="center"/>
        <w:rPr>
          <w:rFonts w:cs="Times New Roman"/>
          <w:b/>
          <w:bCs/>
          <w:sz w:val="20"/>
          <w:szCs w:val="20"/>
        </w:rPr>
      </w:pPr>
      <w:r w:rsidRPr="002901C0">
        <w:rPr>
          <w:rFonts w:cs="Times New Roman"/>
          <w:b/>
          <w:bCs/>
          <w:sz w:val="20"/>
          <w:szCs w:val="20"/>
        </w:rPr>
        <w:t>PARAMETRY SYSTEMU:</w:t>
      </w:r>
      <w:bookmarkStart w:id="0" w:name="_Toc203114777"/>
    </w:p>
    <w:p w14:paraId="00B39FAF" w14:textId="4F16D984" w:rsidR="003F012A" w:rsidRPr="00914EDC" w:rsidRDefault="003F012A" w:rsidP="003F012A">
      <w:pPr>
        <w:pStyle w:val="Akapitzlist"/>
        <w:numPr>
          <w:ilvl w:val="0"/>
          <w:numId w:val="1"/>
        </w:numPr>
        <w:jc w:val="both"/>
        <w:rPr>
          <w:rFonts w:cs="Times New Roman"/>
          <w:sz w:val="20"/>
          <w:szCs w:val="20"/>
        </w:rPr>
      </w:pPr>
      <w:r w:rsidRPr="002901C0">
        <w:rPr>
          <w:rFonts w:cs="Times New Roman"/>
          <w:sz w:val="20"/>
          <w:szCs w:val="20"/>
        </w:rPr>
        <w:t>Wymagania ogólne</w:t>
      </w:r>
      <w:bookmarkEnd w:id="0"/>
    </w:p>
    <w:p w14:paraId="0601ACC2"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 xml:space="preserve">System dostępny dla użytkowników jako tzw. aplikacja webowa w przeglądarce internetowej. Minimalna lista kompatybilnych przeglądarek: Mozilla Firefox, Google Chrome, Microsoft Edge, Opera, Vivaldi. </w:t>
      </w:r>
    </w:p>
    <w:p w14:paraId="094D3A17"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Niedopuszczalne jest stosowanie oprogramowania serwera terminali w celu połączenia z systemem zdalnie.</w:t>
      </w:r>
    </w:p>
    <w:p w14:paraId="72BA3864"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ab/>
      </w:r>
      <w:r w:rsidRPr="002901C0">
        <w:rPr>
          <w:rFonts w:cs="Times New Roman"/>
          <w:sz w:val="20"/>
          <w:szCs w:val="20"/>
        </w:rPr>
        <w:tab/>
        <w:t xml:space="preserve">Dopuszczalne jest zastosowanie dodatkowej aplikacji natywnej w celu współdziałania z urządzeniami, którymi nie można sterować z przeglądarki lub w celu uzupełnienia jej funkcjonalności. </w:t>
      </w:r>
    </w:p>
    <w:p w14:paraId="6D124714"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ab/>
      </w:r>
      <w:r w:rsidRPr="002901C0">
        <w:rPr>
          <w:rFonts w:cs="Times New Roman"/>
          <w:sz w:val="20"/>
          <w:szCs w:val="20"/>
        </w:rPr>
        <w:tab/>
        <w:t xml:space="preserve">Interfejs użytkownika wykonany w jednej technologii. Dostęp do dostępnych modułów/funkcjonalności za pośrednictwem jednokrotnego logowania. </w:t>
      </w:r>
    </w:p>
    <w:p w14:paraId="713DBE54"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ab/>
      </w:r>
      <w:r w:rsidRPr="002901C0">
        <w:rPr>
          <w:rFonts w:cs="Times New Roman"/>
          <w:sz w:val="20"/>
          <w:szCs w:val="20"/>
        </w:rPr>
        <w:tab/>
        <w:t>Wykonawca zobowiązuje się do bezpłatnego (w okresie gwarancji) dostosowania systemu w przypadku, gdy technologia użyta w zaoferowanym oprogramowaniu przestanie być wspierana przez aktualne wersje przeglądarek.</w:t>
      </w:r>
    </w:p>
    <w:p w14:paraId="68BB844A"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ab/>
      </w:r>
      <w:r w:rsidRPr="002901C0">
        <w:rPr>
          <w:rFonts w:cs="Times New Roman"/>
          <w:sz w:val="20"/>
          <w:szCs w:val="20"/>
        </w:rPr>
        <w:tab/>
        <w:t>Licencja niewyłączna, udzielana na czas nieokreślony, bez możliwości wypowiedzenia ze strony Wykonawcy (z wyłączeniem sytuacji naruszenia prawa).</w:t>
      </w:r>
    </w:p>
    <w:p w14:paraId="7CCEFABF"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ab/>
      </w:r>
      <w:r w:rsidRPr="002901C0">
        <w:rPr>
          <w:rFonts w:cs="Times New Roman"/>
          <w:sz w:val="20"/>
          <w:szCs w:val="20"/>
        </w:rPr>
        <w:tab/>
        <w:t>System musi zapewnić możliwość rozdzielenia backendu bazodanowego i frontendu aplikacyjnego na osobne serwery.</w:t>
      </w:r>
    </w:p>
    <w:p w14:paraId="2B7678DC"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System musi umożliwiać jednoczesną pracę wielu użytkowników poprzez sieć lokalną Zamawiającego z możliwością pracy zdalnej spoza siedziby Zamawiającego.</w:t>
      </w:r>
    </w:p>
    <w:p w14:paraId="7B0752FB"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Brak limitu jednocześnie zalogowanych użytkowników.</w:t>
      </w:r>
    </w:p>
    <w:p w14:paraId="630756D3"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Połączenie sieciowe między komputerem użytkownika, a serwerem musi być szyfrowane. Wykonawca zapewni komercyjny certyfikat SSL automatycznie rozpoznawany przez wiodące przeglądarki internetowe w okresie trwania gwarancji.</w:t>
      </w:r>
    </w:p>
    <w:p w14:paraId="2B9ACF38"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Interfejs użytkownika w polskiej wersji językowej.</w:t>
      </w:r>
    </w:p>
    <w:p w14:paraId="6D0C66C4"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Interfejs użytkownika z funkcjonalnościami odświeżania strony, „przeciągnij i upuść” oraz komunikatami akustycznymi do pracy bezwzrokowej.</w:t>
      </w:r>
    </w:p>
    <w:p w14:paraId="0FCF5BBA"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Skróty klawiszowe do najczęściej wykorzystywanych funkcji umożliwiające ograniczenie korzystania z myszki i zwiększenie wydajności pracy.</w:t>
      </w:r>
    </w:p>
    <w:p w14:paraId="20FE9F0D"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ab/>
      </w:r>
      <w:r w:rsidRPr="002901C0">
        <w:rPr>
          <w:rFonts w:cs="Times New Roman"/>
          <w:sz w:val="20"/>
          <w:szCs w:val="20"/>
        </w:rPr>
        <w:tab/>
        <w:t>Interfejs użytkownika adekwatnie do zakresu posiadanych uprawnień musi zawierać element (np. pasek statusu), w którym będą wyświetlane najważniejsze bieżące informacje dot. możliwości podjęcia czynności przez zalogowanego użytkownika, m.in. nieodczytane komunikaty systemowe oraz nieobsłużone zdarzenia kontroli jakości. Element interfejsu użytkownika powinien być widoczny cały czas i nie może być przesłaniany innymi elementami interfejsu, np. oknami, a aktualny status powinien się aktualizować samoczynnie lub przy kolejnych akcjach użytkownika w systemie.</w:t>
      </w:r>
    </w:p>
    <w:p w14:paraId="235818AC" w14:textId="7C7F9906" w:rsidR="003F012A" w:rsidRPr="00914EDC" w:rsidRDefault="003F012A" w:rsidP="003F012A">
      <w:pPr>
        <w:pStyle w:val="Nagwek1"/>
        <w:numPr>
          <w:ilvl w:val="0"/>
          <w:numId w:val="1"/>
        </w:numPr>
        <w:tabs>
          <w:tab w:val="num" w:pos="720"/>
        </w:tabs>
        <w:ind w:left="720"/>
        <w:rPr>
          <w:rFonts w:asciiTheme="minorHAnsi" w:hAnsiTheme="minorHAnsi" w:cs="Times New Roman"/>
          <w:color w:val="auto"/>
          <w:sz w:val="20"/>
          <w:szCs w:val="20"/>
        </w:rPr>
      </w:pPr>
      <w:bookmarkStart w:id="1" w:name="_Toc203114778"/>
      <w:r w:rsidRPr="002901C0">
        <w:rPr>
          <w:rFonts w:asciiTheme="minorHAnsi" w:hAnsiTheme="minorHAnsi" w:cs="Times New Roman"/>
          <w:color w:val="auto"/>
          <w:sz w:val="20"/>
          <w:szCs w:val="20"/>
        </w:rPr>
        <w:t>Opcje podstawowe</w:t>
      </w:r>
      <w:bookmarkEnd w:id="1"/>
      <w:r w:rsidRPr="002901C0">
        <w:rPr>
          <w:rFonts w:asciiTheme="minorHAnsi" w:hAnsiTheme="minorHAnsi" w:cs="Times New Roman"/>
          <w:color w:val="auto"/>
          <w:sz w:val="20"/>
          <w:szCs w:val="20"/>
        </w:rPr>
        <w:t xml:space="preserve"> </w:t>
      </w:r>
    </w:p>
    <w:p w14:paraId="05B73DBA"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Wprowadzenie struktury organizacyjnej i przypisanie personelu (użytkowników) do poszczególnych jednostek organizacyjnych.</w:t>
      </w:r>
    </w:p>
    <w:p w14:paraId="61C7C7BC"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Każda jednostka organizacyjna może mieć własne szablony znakowania i numeracji obiektów (w zależności od modułu np. skierowania, materiały, pojemniki na odwapniane wycinki, bloczki parafinowe, preparaty, hodowle komórkowe, izolaty itp.).</w:t>
      </w:r>
    </w:p>
    <w:p w14:paraId="484655DB"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lastRenderedPageBreak/>
        <w:t>Możliwość w pełni automatycznego numerowania obiektów i/lub wprowadzenia ręcznej numeracji ze zdefiniowanymi zasadami walidacji danych. Możliwość dowolnego dostosowania szablonów numerowania wg wymagań Zamawiającego.</w:t>
      </w:r>
    </w:p>
    <w:p w14:paraId="4D58953D"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ab/>
      </w:r>
      <w:r w:rsidRPr="002901C0">
        <w:rPr>
          <w:rFonts w:cs="Times New Roman"/>
          <w:sz w:val="20"/>
          <w:szCs w:val="20"/>
        </w:rPr>
        <w:tab/>
        <w:t>Generowanie automatycznych powiadomień o występujących zdarzeniach niepożądanych w systemie w postaci e-maila i/lub komunikatu.</w:t>
      </w:r>
    </w:p>
    <w:p w14:paraId="5A622777"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Rejestracja czasu operacji wykonanych w systemie i możliwość podglądu ich historii.</w:t>
      </w:r>
    </w:p>
    <w:p w14:paraId="0290E610"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Walidacja numeru PESEL, automatyczne określanie płci i daty urodzenia wg PESEL.</w:t>
      </w:r>
    </w:p>
    <w:p w14:paraId="0BD6A186"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Algorytm samouczący się podpowiadania lekarza kierującego i jego NPWZ przy ręcznej rejestracji przypadków.</w:t>
      </w:r>
    </w:p>
    <w:p w14:paraId="43FF3D84"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Możliwość określenia pacjenta jako pacjenta VIP. Dostęp do pacjentów VIP tylko dla uprawnionych użytkowników.</w:t>
      </w:r>
    </w:p>
    <w:p w14:paraId="31E7C564"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Zabezpieczenie przed omyłkowym opuszczeniem ekranu dodawania/edycji obiektu (min. przypadku, materiału, bloczka, preparatu, etapu procesu) przed zapisaniem zmian.</w:t>
      </w:r>
    </w:p>
    <w:p w14:paraId="238C4CB8"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Automatyczne rozpoznawanie stanowiska, przy którym zalogowany jest użytkownik i dostosowanie do niego zachowania programu, m.in. kafelki najczęściej używanych funkcji, czy ograniczenie długości list roboczych.</w:t>
      </w:r>
    </w:p>
    <w:p w14:paraId="5867FBF2"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Identyfikacja jednostki zlecającej zgodnie z rozporządzeniem Ministra Zdrowia z dnia 6 kwietnia 2020 r. (wraz z późniejszymi zmianami) w sprawie rodzajów, zakresu i wzorów dokumentacji medycznej oraz sposobu jej przetwarzania.</w:t>
      </w:r>
    </w:p>
    <w:p w14:paraId="2839493C"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ab/>
      </w:r>
      <w:r w:rsidRPr="002901C0">
        <w:rPr>
          <w:rFonts w:cs="Times New Roman"/>
          <w:sz w:val="20"/>
          <w:szCs w:val="20"/>
        </w:rPr>
        <w:tab/>
        <w:t>Zlecający i ich oddziały podlegający wersjonowaniu z określoną datą obowiązywania danej wersji. Tworzenie nowej wersji kopiuje wszystkie dotychczasowe dane.</w:t>
      </w:r>
    </w:p>
    <w:p w14:paraId="38BB3FDD"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Przypisywanie definiowanych przez użytkownika znaczników do zleceniodawców w celu wykorzystania w raportach.</w:t>
      </w:r>
    </w:p>
    <w:p w14:paraId="028DDC8D"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Możliwość zablokowania rejestracji nowych przypadków pochodzących od wybranego zlecającego poczynając od określonej daty (np. wygaśnięcia umowy).</w:t>
      </w:r>
    </w:p>
    <w:p w14:paraId="1752C9D8"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Przyporządkowanie numeru OPK (szpitalnego Ośrodka Powstawania Kosztów) do wersji zlecającego i oddziału na potrzeby wyznaczania kosztów jednostki organizacyjnej zdefiniowanej w systemie.</w:t>
      </w:r>
    </w:p>
    <w:p w14:paraId="5E1614EC"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Możliwość zdefiniowania uwag dotyczących jednostki zlecającej widocznych dla personelu technicznego w kontekście przypadków zarejestrowanych na rzecz tej jednostki zlecającej.</w:t>
      </w:r>
    </w:p>
    <w:p w14:paraId="102D8E15"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 xml:space="preserve">Możliwość wprowadzenia systemu w tryb serwisowy na czas wykonania prac serwisowych. System w trybie serwisowym blokuje użytkownikom bez odpowiednich uprawnień możliwość logowania. </w:t>
      </w:r>
    </w:p>
    <w:p w14:paraId="3EB08822"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ab/>
      </w:r>
      <w:r w:rsidRPr="002901C0">
        <w:rPr>
          <w:rFonts w:cs="Times New Roman"/>
          <w:sz w:val="20"/>
          <w:szCs w:val="20"/>
        </w:rPr>
        <w:tab/>
        <w:t xml:space="preserve">Możliwość zweryfikowania wprowadzanych zmian konfiguracyjnych (audyt zmian konfiguracyjnych) w postaci dedykowanej, przeszukiwalnej listy. Możliwość filtrowania listy wg daty modyfikacji, typu i identyfikatora obiektu konfiguracji systemu. </w:t>
      </w:r>
    </w:p>
    <w:p w14:paraId="1C65DF8F" w14:textId="2F3D4354" w:rsidR="003F012A" w:rsidRPr="00914EDC" w:rsidRDefault="003F012A" w:rsidP="003F012A">
      <w:pPr>
        <w:pStyle w:val="Nagwek1"/>
        <w:numPr>
          <w:ilvl w:val="0"/>
          <w:numId w:val="1"/>
        </w:numPr>
        <w:tabs>
          <w:tab w:val="num" w:pos="720"/>
        </w:tabs>
        <w:ind w:left="720"/>
        <w:rPr>
          <w:rFonts w:asciiTheme="minorHAnsi" w:hAnsiTheme="minorHAnsi" w:cs="Times New Roman"/>
          <w:color w:val="auto"/>
          <w:sz w:val="20"/>
          <w:szCs w:val="20"/>
        </w:rPr>
      </w:pPr>
      <w:bookmarkStart w:id="2" w:name="_Toc203114779"/>
      <w:r w:rsidRPr="002901C0">
        <w:rPr>
          <w:rFonts w:asciiTheme="minorHAnsi" w:hAnsiTheme="minorHAnsi" w:cs="Times New Roman"/>
          <w:color w:val="auto"/>
          <w:sz w:val="20"/>
          <w:szCs w:val="20"/>
        </w:rPr>
        <w:t>Generowane dokumenty</w:t>
      </w:r>
      <w:bookmarkEnd w:id="2"/>
    </w:p>
    <w:p w14:paraId="0B3E22DB"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System umożliwia edycję już utworzonych i tworzenie nowych wydruków, szablonów dokumentów przez uprawnionego użytkownika.</w:t>
      </w:r>
    </w:p>
    <w:p w14:paraId="69CBDDFC"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 xml:space="preserve">Szablony dokumentów będą edytowane i tworzone na wniosek Zamawiającego przez Wykonawcę w ramach pakietu godzin pracy programisty określonych w </w:t>
      </w:r>
      <w:r w:rsidRPr="00F675C4">
        <w:rPr>
          <w:rFonts w:cs="Times New Roman"/>
          <w:sz w:val="20"/>
          <w:szCs w:val="20"/>
        </w:rPr>
        <w:t xml:space="preserve">punkcie </w:t>
      </w:r>
      <w:r w:rsidRPr="00F675C4">
        <w:rPr>
          <w:rFonts w:cs="Times New Roman"/>
          <w:sz w:val="20"/>
          <w:szCs w:val="20"/>
        </w:rPr>
        <w:fldChar w:fldCharType="begin"/>
      </w:r>
      <w:r w:rsidRPr="00F675C4">
        <w:rPr>
          <w:rFonts w:cs="Times New Roman"/>
          <w:sz w:val="20"/>
          <w:szCs w:val="20"/>
        </w:rPr>
        <w:instrText xml:space="preserve"> REF _Ref187131819 \r \h  \* MERGEFORMAT </w:instrText>
      </w:r>
      <w:r w:rsidRPr="00F675C4">
        <w:rPr>
          <w:rFonts w:cs="Times New Roman"/>
          <w:sz w:val="20"/>
          <w:szCs w:val="20"/>
        </w:rPr>
      </w:r>
      <w:r w:rsidRPr="00F675C4">
        <w:rPr>
          <w:rFonts w:cs="Times New Roman"/>
          <w:sz w:val="20"/>
          <w:szCs w:val="20"/>
        </w:rPr>
        <w:fldChar w:fldCharType="separate"/>
      </w:r>
      <w:r w:rsidRPr="00F675C4">
        <w:rPr>
          <w:rFonts w:cs="Times New Roman"/>
          <w:sz w:val="20"/>
          <w:szCs w:val="20"/>
        </w:rPr>
        <w:t>7.12</w:t>
      </w:r>
      <w:r w:rsidRPr="00F675C4">
        <w:rPr>
          <w:rFonts w:cs="Times New Roman"/>
          <w:sz w:val="20"/>
          <w:szCs w:val="20"/>
        </w:rPr>
        <w:fldChar w:fldCharType="end"/>
      </w:r>
      <w:r w:rsidRPr="00F675C4">
        <w:rPr>
          <w:rFonts w:cs="Times New Roman"/>
          <w:sz w:val="20"/>
          <w:szCs w:val="20"/>
        </w:rPr>
        <w:t xml:space="preserve"> do</w:t>
      </w:r>
      <w:r w:rsidRPr="002901C0">
        <w:rPr>
          <w:rFonts w:cs="Times New Roman"/>
          <w:sz w:val="20"/>
          <w:szCs w:val="20"/>
        </w:rPr>
        <w:t xml:space="preserve"> 10 dni roboczych od dnia złożenia zamówienia.</w:t>
      </w:r>
    </w:p>
    <w:p w14:paraId="4D0FEFC0"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System musi zapewniać obsługę drukarek i czytników kodów w celu jednoznacznego znakowania obiektów (np. materiału diagnostycznego, bloczków parafinowych i szkiełek mikroskopowych).</w:t>
      </w:r>
    </w:p>
    <w:p w14:paraId="776D8578"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System musi obsługiwać kody kreskowe w standardach 1D: Code39, Code128 oraz 2D: QR, DataMatrix.</w:t>
      </w:r>
    </w:p>
    <w:p w14:paraId="67563CE1" w14:textId="6A039C2C" w:rsidR="003F012A" w:rsidRPr="00914EDC" w:rsidRDefault="003F012A" w:rsidP="003F012A">
      <w:pPr>
        <w:pStyle w:val="Nagwek1"/>
        <w:numPr>
          <w:ilvl w:val="0"/>
          <w:numId w:val="1"/>
        </w:numPr>
        <w:tabs>
          <w:tab w:val="num" w:pos="720"/>
        </w:tabs>
        <w:ind w:left="720"/>
        <w:rPr>
          <w:rFonts w:asciiTheme="minorHAnsi" w:hAnsiTheme="minorHAnsi" w:cs="Times New Roman"/>
          <w:color w:val="auto"/>
          <w:sz w:val="20"/>
          <w:szCs w:val="20"/>
        </w:rPr>
      </w:pPr>
      <w:bookmarkStart w:id="3" w:name="_Toc203114780"/>
      <w:r w:rsidRPr="002901C0">
        <w:rPr>
          <w:rFonts w:asciiTheme="minorHAnsi" w:hAnsiTheme="minorHAnsi" w:cs="Times New Roman"/>
          <w:color w:val="auto"/>
          <w:sz w:val="20"/>
          <w:szCs w:val="20"/>
        </w:rPr>
        <w:lastRenderedPageBreak/>
        <w:t>Zarządzanie użytkownikami</w:t>
      </w:r>
      <w:bookmarkEnd w:id="3"/>
    </w:p>
    <w:p w14:paraId="726A63A5"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Możliwość zdefiniowania nieograniczonej liczby użytkowników.</w:t>
      </w:r>
      <w:r w:rsidRPr="002901C0">
        <w:rPr>
          <w:rFonts w:cs="Times New Roman"/>
          <w:sz w:val="20"/>
          <w:szCs w:val="20"/>
        </w:rPr>
        <w:tab/>
      </w:r>
    </w:p>
    <w:p w14:paraId="767D9DF6"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Możliwość zdefiniowania grup uprawnień dedykowanych dla grup personelu (np. technik, lekarz specjalista, lekarz rezydent, sekretarka, administrator).</w:t>
      </w:r>
    </w:p>
    <w:p w14:paraId="4C21CB4C"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Przypisywanie uprawnień użytkownikom do poszczególnych części i funkcji programu (z dokładnością do pojedynczego polecenia w systemie).</w:t>
      </w:r>
    </w:p>
    <w:p w14:paraId="4780EFDC"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Przypisywanie użytkownika do jednostek organizacyjnych. W przypadku możliwości pracy w kilku jednostkach (np. cykliczna rotacja personelu wynikająca z organizacji pracy) użytkownik może wybrać bieżące miejsce pracy po zalogowaniu się.</w:t>
      </w:r>
    </w:p>
    <w:p w14:paraId="387EAF2D"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Wymuszanie cyklicznej zmiany haseł z dokładnością do pojedynczego konta użytkownika, przez osobę uprawnioną do zarządzania użytkownikami.</w:t>
      </w:r>
    </w:p>
    <w:p w14:paraId="6F132C88"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Możliwość wyświetlenia listy zalogowanych użytkowników i ich wylogowania (posiadając stosowne uprawnienia).</w:t>
      </w:r>
    </w:p>
    <w:p w14:paraId="4DA05FC8"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Historia logowania użytkowników.</w:t>
      </w:r>
    </w:p>
    <w:p w14:paraId="1C875799"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Funkcja resetu zapomnianego hasła użytkownika z kluczem odblokowującym wysyłanym na adres e-mail zdefiniowany w profilu użytkownika.</w:t>
      </w:r>
    </w:p>
    <w:p w14:paraId="0F383731"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Komunikaty systemowe kierowane do użytkowników i/lub grup użytkowników. Weryfikacja potwierdzeń komunikatów przez adresatów wiadomości. Możliwość wykorzystania komunikatów systemowych do automatycznego informowania uprawnionych użytkowników o zdarzeniach w systemie.</w:t>
      </w:r>
    </w:p>
    <w:p w14:paraId="7AAA0586"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Autoryzacja użytkowników poprzez zewnętrzny serwer LDAP (np. domena MS Windows – Active Directory posiadana przez Zamawiającego). Możliwość zmiany hasła w LDAP poprzez oferowany system. Możliwość wdrożenia jednokrotnego logowania użytkownika – SSO (hasło lub karta inteligentna). Konta jeszcze nie istniejące w systemie zakładają się automatycznie przy pierwszym logowaniu, na podstawie użytkownika wzorcowego – kopiując jego uprawnienia, ograniczenia, preferencje i przypisane statystyki.</w:t>
      </w:r>
    </w:p>
    <w:p w14:paraId="67A2E4C2"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Funkcja kopiowania użytkowników – utworzenia nowego konta z identycznymi uprawnieniami, preferencjami, ograniczeniami, ale zmienionymi danymi osobowymi/loginem.</w:t>
      </w:r>
    </w:p>
    <w:p w14:paraId="6F2EC2B6"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Możliwość przypisania certyfikatu karty PKI użytkownikowi w celu umożliwienia logowania kartą.</w:t>
      </w:r>
    </w:p>
    <w:p w14:paraId="7FC195F8" w14:textId="77CA11FD" w:rsidR="003F012A" w:rsidRPr="00914EDC" w:rsidRDefault="003F012A" w:rsidP="003F012A">
      <w:pPr>
        <w:pStyle w:val="Nagwek1"/>
        <w:numPr>
          <w:ilvl w:val="0"/>
          <w:numId w:val="1"/>
        </w:numPr>
        <w:tabs>
          <w:tab w:val="num" w:pos="720"/>
        </w:tabs>
        <w:ind w:left="720"/>
        <w:rPr>
          <w:rFonts w:asciiTheme="minorHAnsi" w:hAnsiTheme="minorHAnsi" w:cs="Times New Roman"/>
          <w:color w:val="auto"/>
          <w:sz w:val="20"/>
          <w:szCs w:val="20"/>
        </w:rPr>
      </w:pPr>
      <w:bookmarkStart w:id="4" w:name="_Toc203114781"/>
      <w:r w:rsidRPr="002901C0">
        <w:rPr>
          <w:rFonts w:asciiTheme="minorHAnsi" w:hAnsiTheme="minorHAnsi" w:cs="Times New Roman"/>
          <w:color w:val="auto"/>
          <w:sz w:val="20"/>
          <w:szCs w:val="20"/>
        </w:rPr>
        <w:t>Bezpieczeństwo danych</w:t>
      </w:r>
      <w:bookmarkEnd w:id="4"/>
    </w:p>
    <w:p w14:paraId="40A34BBF"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Dostęp do systemu zabezpieczany jest kombinacją użytkownik/hasło lub przy pomocy systemu PKI (karty inteligentnej) funkcjonującego u Zamawiającego. Możliwość obsługi logowania dwuskładnikowego (2FA) ze wsparciem dla aplikacji mobilnych (minimum systemy Android i iOS).</w:t>
      </w:r>
    </w:p>
    <w:p w14:paraId="539DB394"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 xml:space="preserve">Możliwość skonfigurowania minimalnych wymagań dotyczących złożoności haseł.  </w:t>
      </w:r>
    </w:p>
    <w:p w14:paraId="63FF22C2"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Automatyczne wylogowanie użytkownika po określonym czasie nieaktywności.</w:t>
      </w:r>
    </w:p>
    <w:p w14:paraId="4DE55F31"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Możliwość skonfigurowania bezpiecznego dostępu poprzez VPN.</w:t>
      </w:r>
    </w:p>
    <w:p w14:paraId="7381B829"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Generowanie podpisanego PDF zabezpieczonego przed edycją i kopiowaniem treści – konfigurowalne ograniczenie uprawnień pliku PDF.</w:t>
      </w:r>
    </w:p>
    <w:p w14:paraId="5282E32C"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Możliwość włączenia automatycznej dezaktywacji kont użytkowników, które nie były używane przez określony czas.</w:t>
      </w:r>
    </w:p>
    <w:p w14:paraId="0251E694"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Możliwość zablokowania ekranu – tymczasowego zabezpieczenia dostępu do otwartego okna programu („wygaszacza ekranu”) bez tracenia kontekstu. Po wpisaniu hasła użytkownik może kontynuować pracę z miejsca, w którym aktywował blokadę. Możliwość automatycznej blokady ekranu po określonym czasie nieaktywności.</w:t>
      </w:r>
    </w:p>
    <w:p w14:paraId="0934B8D4" w14:textId="31377532" w:rsidR="003F012A" w:rsidRPr="00914EDC" w:rsidRDefault="003F012A" w:rsidP="003F012A">
      <w:pPr>
        <w:pStyle w:val="Nagwek1"/>
        <w:numPr>
          <w:ilvl w:val="0"/>
          <w:numId w:val="1"/>
        </w:numPr>
        <w:tabs>
          <w:tab w:val="num" w:pos="720"/>
        </w:tabs>
        <w:ind w:left="720"/>
        <w:rPr>
          <w:rFonts w:asciiTheme="minorHAnsi" w:hAnsiTheme="minorHAnsi" w:cs="Times New Roman"/>
          <w:color w:val="auto"/>
          <w:sz w:val="20"/>
          <w:szCs w:val="20"/>
        </w:rPr>
      </w:pPr>
      <w:bookmarkStart w:id="5" w:name="_Toc203114782"/>
      <w:r w:rsidRPr="002901C0">
        <w:rPr>
          <w:rFonts w:asciiTheme="minorHAnsi" w:hAnsiTheme="minorHAnsi" w:cs="Times New Roman"/>
          <w:color w:val="auto"/>
          <w:sz w:val="20"/>
          <w:szCs w:val="20"/>
        </w:rPr>
        <w:lastRenderedPageBreak/>
        <w:t>Usługi zapewnione Zamawiającemu w ramach wdrożenia</w:t>
      </w:r>
      <w:bookmarkEnd w:id="5"/>
    </w:p>
    <w:p w14:paraId="46A350A4"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Szkolenia personelu przed rozruchem produkcyjnym (grupowe oraz indywidualne) dla użytkowników jednostki organizacyjnej Zamawiającego, w której następuje wdrożenie ofertowanego systemu.</w:t>
      </w:r>
    </w:p>
    <w:p w14:paraId="02598331"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Szkolenia przeprowadzone będą w godzinach pracy pracowników Zamawiającego. Zamawiający udostępni Wykonawcy niezbędne pomieszczenia z dostępem do sieci komputerowej i zasilaniem.</w:t>
      </w:r>
    </w:p>
    <w:p w14:paraId="3F0A9996"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Asysta stanowiskowa dla personelu w trakcie rozruchu systemu.</w:t>
      </w:r>
    </w:p>
    <w:p w14:paraId="14B2DE79" w14:textId="77777777" w:rsidR="003F012A" w:rsidRPr="00F675C4" w:rsidRDefault="003F012A" w:rsidP="003F012A">
      <w:pPr>
        <w:pStyle w:val="Akapitzlist"/>
        <w:numPr>
          <w:ilvl w:val="1"/>
          <w:numId w:val="1"/>
        </w:numPr>
        <w:spacing w:after="120" w:line="276" w:lineRule="auto"/>
        <w:ind w:left="426"/>
        <w:jc w:val="both"/>
        <w:rPr>
          <w:rFonts w:cs="Times New Roman"/>
          <w:sz w:val="20"/>
          <w:szCs w:val="20"/>
        </w:rPr>
      </w:pPr>
      <w:r w:rsidRPr="00F675C4">
        <w:rPr>
          <w:rFonts w:cs="Times New Roman"/>
          <w:sz w:val="20"/>
          <w:szCs w:val="20"/>
        </w:rPr>
        <w:t>Integracja z systemami zewnętrznymi opisanymi w Punkcie 11. Zamawiający zapewni Wykonawcy zdalny dostęp do interfejsów urządzeń i systemów, niezbędny do wykonania, określonych w ramach wdrożenia, integracji.</w:t>
      </w:r>
    </w:p>
    <w:p w14:paraId="2D0D7D4F" w14:textId="77777777" w:rsidR="003F012A" w:rsidRPr="00F675C4" w:rsidRDefault="003F012A" w:rsidP="003F012A">
      <w:pPr>
        <w:pStyle w:val="Akapitzlist"/>
        <w:numPr>
          <w:ilvl w:val="1"/>
          <w:numId w:val="1"/>
        </w:numPr>
        <w:spacing w:after="120" w:line="276" w:lineRule="auto"/>
        <w:ind w:left="426"/>
        <w:jc w:val="both"/>
        <w:rPr>
          <w:rFonts w:cs="Times New Roman"/>
          <w:sz w:val="20"/>
          <w:szCs w:val="20"/>
        </w:rPr>
      </w:pPr>
      <w:r w:rsidRPr="00F675C4">
        <w:rPr>
          <w:rFonts w:cs="Times New Roman"/>
          <w:sz w:val="20"/>
          <w:szCs w:val="20"/>
        </w:rPr>
        <w:t>Instalacja systemu w środowisku wirtualnym Zamawiającego. Wykonawca dostarczy obraz maszyny wirtualnej Zamawiającemu oraz przekaże licencje na niezbędne oprogramowanie firm trzecich w tym systemy operacyjne i bazodanowe, o ile wymagają komercyjnego licencjonowania. Koszt niezbędnych licencji obciąża Wykonawcę.</w:t>
      </w:r>
    </w:p>
    <w:p w14:paraId="798CFFC2" w14:textId="77777777" w:rsidR="003F012A" w:rsidRPr="00F675C4" w:rsidRDefault="003F012A" w:rsidP="003F012A">
      <w:pPr>
        <w:pStyle w:val="Akapitzlist"/>
        <w:numPr>
          <w:ilvl w:val="1"/>
          <w:numId w:val="1"/>
        </w:numPr>
        <w:spacing w:after="120" w:line="276" w:lineRule="auto"/>
        <w:ind w:left="426"/>
        <w:jc w:val="both"/>
        <w:rPr>
          <w:rFonts w:cs="Times New Roman"/>
          <w:sz w:val="20"/>
          <w:szCs w:val="20"/>
        </w:rPr>
      </w:pPr>
      <w:r w:rsidRPr="00F675C4">
        <w:rPr>
          <w:rFonts w:cs="Times New Roman"/>
          <w:sz w:val="20"/>
          <w:szCs w:val="20"/>
        </w:rPr>
        <w:tab/>
      </w:r>
      <w:r w:rsidRPr="00F675C4">
        <w:rPr>
          <w:rFonts w:cs="Times New Roman"/>
          <w:sz w:val="20"/>
          <w:szCs w:val="20"/>
        </w:rPr>
        <w:tab/>
        <w:t>Konfiguracja stacji roboczych użytkowników do pracy z systemem w siedzibie Zamawiającego w liczbie max. 23 szt.</w:t>
      </w:r>
    </w:p>
    <w:p w14:paraId="313CC14B" w14:textId="77777777" w:rsidR="003F012A" w:rsidRPr="00F675C4" w:rsidRDefault="003F012A" w:rsidP="003F012A">
      <w:pPr>
        <w:pStyle w:val="Akapitzlist"/>
        <w:numPr>
          <w:ilvl w:val="1"/>
          <w:numId w:val="1"/>
        </w:numPr>
        <w:spacing w:after="120" w:line="276" w:lineRule="auto"/>
        <w:ind w:left="426"/>
        <w:jc w:val="both"/>
        <w:rPr>
          <w:rFonts w:cs="Times New Roman"/>
          <w:sz w:val="20"/>
          <w:szCs w:val="20"/>
        </w:rPr>
      </w:pPr>
      <w:r w:rsidRPr="00F675C4">
        <w:rPr>
          <w:rFonts w:cs="Times New Roman"/>
          <w:sz w:val="20"/>
          <w:szCs w:val="20"/>
        </w:rPr>
        <w:t>Wykonawca w ramach wdrożenia dostarczy słowniki klasyfikacji ICD-10 i ICD-O3 w najnowszej wersji w języku polskim dostępnej w momencie wdrożenia. Koszt ewentualnej licencji ponosi Wykonawca. Wykonawca zobowiązuje się do bieżącej aktualizacji słownika w ramach gwarancji.</w:t>
      </w:r>
    </w:p>
    <w:p w14:paraId="02D031D7" w14:textId="77777777" w:rsidR="003F012A" w:rsidRPr="00F675C4" w:rsidRDefault="003F012A" w:rsidP="003F012A">
      <w:pPr>
        <w:pStyle w:val="Akapitzlist"/>
        <w:numPr>
          <w:ilvl w:val="1"/>
          <w:numId w:val="1"/>
        </w:numPr>
        <w:spacing w:after="120" w:line="276" w:lineRule="auto"/>
        <w:ind w:left="426"/>
        <w:jc w:val="both"/>
        <w:rPr>
          <w:rFonts w:cs="Times New Roman"/>
          <w:sz w:val="20"/>
          <w:szCs w:val="20"/>
        </w:rPr>
      </w:pPr>
      <w:r w:rsidRPr="00F675C4">
        <w:rPr>
          <w:rFonts w:cs="Times New Roman"/>
          <w:sz w:val="20"/>
          <w:szCs w:val="20"/>
        </w:rPr>
        <w:t>Na etapie konfiguracji systemu wymagana implementacja szablonów dokumentów (np. skierowań, wyników, szablonów nalepek, zleceń wypożyczenia dokumentacji medycznej, faktur/rachunków itp.) dostarczonych przez Zamawiającego.</w:t>
      </w:r>
    </w:p>
    <w:p w14:paraId="1FEB476F" w14:textId="681CFFEF" w:rsidR="003F012A" w:rsidRPr="00F675C4" w:rsidRDefault="003F012A" w:rsidP="003F012A">
      <w:pPr>
        <w:pStyle w:val="Nagwek1"/>
        <w:numPr>
          <w:ilvl w:val="0"/>
          <w:numId w:val="1"/>
        </w:numPr>
        <w:tabs>
          <w:tab w:val="num" w:pos="720"/>
        </w:tabs>
        <w:ind w:left="720"/>
        <w:rPr>
          <w:rFonts w:asciiTheme="minorHAnsi" w:hAnsiTheme="minorHAnsi" w:cs="Times New Roman"/>
          <w:color w:val="auto"/>
          <w:sz w:val="20"/>
          <w:szCs w:val="20"/>
        </w:rPr>
      </w:pPr>
      <w:bookmarkStart w:id="6" w:name="_Toc203114783"/>
      <w:r w:rsidRPr="00F675C4">
        <w:rPr>
          <w:rFonts w:asciiTheme="minorHAnsi" w:hAnsiTheme="minorHAnsi" w:cs="Times New Roman"/>
          <w:color w:val="auto"/>
          <w:sz w:val="20"/>
          <w:szCs w:val="20"/>
        </w:rPr>
        <w:t>Usługi zapewnione Zamawiającemu w ramach obsługi gwarancyjnej w zadeklarowanym okresie</w:t>
      </w:r>
      <w:bookmarkEnd w:id="6"/>
    </w:p>
    <w:p w14:paraId="202020F1"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F675C4">
        <w:rPr>
          <w:rFonts w:cs="Times New Roman"/>
          <w:sz w:val="20"/>
          <w:szCs w:val="20"/>
        </w:rPr>
        <w:t>Obsługa gwarancyjna systemu i wsparcie techniczne przez okres 24 miesięcy</w:t>
      </w:r>
      <w:r w:rsidRPr="002901C0">
        <w:rPr>
          <w:rFonts w:cs="Times New Roman"/>
          <w:sz w:val="20"/>
          <w:szCs w:val="20"/>
        </w:rPr>
        <w:t xml:space="preserve"> od daty odbioru wdrożenia systemu.</w:t>
      </w:r>
    </w:p>
    <w:p w14:paraId="0B9C8DEA"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Wsparcie techniczne dotyczące pracy z systemem dla pracowników Zamawiającego. Wsparcie dotyczy także podstawowej diagnostyki typowych problemów np. z drukarkami czy systemami operacyjnymi komputerów dostarczonych w ramach zamówienia.</w:t>
      </w:r>
    </w:p>
    <w:p w14:paraId="0FFD095D"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Wykonawca zapewnia system pomocy zdalnej z możliwością przekazywania zgłoszeń (w tym zgłaszanie błędów) w formie telefonicznej, e-mail lub poprzez internetową aplikację zgłoszeniową w tym co najmniej jedną z form całodobowo.</w:t>
      </w:r>
      <w:r w:rsidRPr="002901C0">
        <w:rPr>
          <w:rFonts w:cs="Times New Roman"/>
          <w:sz w:val="20"/>
          <w:szCs w:val="20"/>
        </w:rPr>
        <w:br/>
        <w:t>Wykonawca zapewni obsługę zgłoszeń pomocy technicznej i serwisowych spełniając wszystkie poniższe kryteria minimalne:</w:t>
      </w:r>
    </w:p>
    <w:p w14:paraId="795CEB38" w14:textId="77777777" w:rsidR="003F012A" w:rsidRPr="00F675C4" w:rsidRDefault="003F012A" w:rsidP="00BF6190">
      <w:pPr>
        <w:pStyle w:val="Akapitzlist"/>
        <w:numPr>
          <w:ilvl w:val="2"/>
          <w:numId w:val="1"/>
        </w:numPr>
        <w:spacing w:after="120" w:line="276" w:lineRule="auto"/>
        <w:ind w:left="505" w:hanging="505"/>
        <w:jc w:val="both"/>
        <w:rPr>
          <w:rFonts w:cs="Times New Roman"/>
          <w:sz w:val="20"/>
          <w:szCs w:val="20"/>
        </w:rPr>
      </w:pPr>
      <w:r w:rsidRPr="00F675C4">
        <w:rPr>
          <w:rFonts w:cs="Times New Roman"/>
          <w:sz w:val="20"/>
          <w:szCs w:val="20"/>
        </w:rPr>
        <w:t>w dni robocze w godzinach 7:00 – 16:00.</w:t>
      </w:r>
    </w:p>
    <w:p w14:paraId="7CB8AEE6" w14:textId="77777777" w:rsidR="003F012A" w:rsidRPr="00F675C4" w:rsidRDefault="003F012A" w:rsidP="00BF6190">
      <w:pPr>
        <w:pStyle w:val="Akapitzlist"/>
        <w:numPr>
          <w:ilvl w:val="2"/>
          <w:numId w:val="1"/>
        </w:numPr>
        <w:spacing w:after="120" w:line="276" w:lineRule="auto"/>
        <w:ind w:left="505" w:hanging="505"/>
        <w:jc w:val="both"/>
        <w:rPr>
          <w:rFonts w:cs="Times New Roman"/>
          <w:sz w:val="20"/>
          <w:szCs w:val="20"/>
        </w:rPr>
      </w:pPr>
      <w:r w:rsidRPr="00F675C4">
        <w:rPr>
          <w:rFonts w:cs="Times New Roman"/>
          <w:sz w:val="20"/>
          <w:szCs w:val="20"/>
        </w:rPr>
        <w:t>koszt połączenia z pomocą telefoniczną Wykonawcy (jeden numer telefonu dla wszystkich zgłoszeń) nie może być wyższy niż koszt połączenia krajowego w Polsce na numer stacjonarny.</w:t>
      </w:r>
    </w:p>
    <w:p w14:paraId="541AB732" w14:textId="77777777" w:rsidR="003F012A" w:rsidRPr="00F675C4" w:rsidRDefault="003F012A" w:rsidP="00BF6190">
      <w:pPr>
        <w:pStyle w:val="Akapitzlist"/>
        <w:numPr>
          <w:ilvl w:val="2"/>
          <w:numId w:val="1"/>
        </w:numPr>
        <w:spacing w:after="120" w:line="276" w:lineRule="auto"/>
        <w:ind w:left="505" w:hanging="505"/>
        <w:jc w:val="both"/>
        <w:rPr>
          <w:rFonts w:cs="Times New Roman"/>
          <w:sz w:val="20"/>
          <w:szCs w:val="20"/>
        </w:rPr>
      </w:pPr>
      <w:r w:rsidRPr="00F675C4">
        <w:rPr>
          <w:rFonts w:cs="Times New Roman"/>
          <w:sz w:val="20"/>
          <w:szCs w:val="20"/>
        </w:rPr>
        <w:t xml:space="preserve">niedopuszczalne jest zaoferowanie systemu pomocy opartego o numer o podwyższonej opłacie (np. 0-700 itp.). </w:t>
      </w:r>
    </w:p>
    <w:p w14:paraId="1FF2ECEE" w14:textId="77777777" w:rsidR="003F012A" w:rsidRPr="00F675C4" w:rsidRDefault="003F012A" w:rsidP="003F012A">
      <w:pPr>
        <w:pStyle w:val="Akapitzlist"/>
        <w:numPr>
          <w:ilvl w:val="1"/>
          <w:numId w:val="1"/>
        </w:numPr>
        <w:spacing w:after="120" w:line="276" w:lineRule="auto"/>
        <w:ind w:left="426"/>
        <w:jc w:val="both"/>
        <w:rPr>
          <w:rFonts w:cs="Times New Roman"/>
          <w:sz w:val="20"/>
          <w:szCs w:val="20"/>
        </w:rPr>
      </w:pPr>
      <w:r w:rsidRPr="00F675C4">
        <w:rPr>
          <w:rFonts w:cs="Times New Roman"/>
          <w:sz w:val="20"/>
          <w:szCs w:val="20"/>
        </w:rPr>
        <w:t>W zależności od typu zgłoszenia maksymalny czas usunięcia awarii wynosi:</w:t>
      </w:r>
    </w:p>
    <w:p w14:paraId="4578324A" w14:textId="77777777" w:rsidR="003F012A" w:rsidRPr="00F675C4" w:rsidRDefault="003F012A" w:rsidP="00BF6190">
      <w:pPr>
        <w:pStyle w:val="Akapitzlist"/>
        <w:numPr>
          <w:ilvl w:val="2"/>
          <w:numId w:val="1"/>
        </w:numPr>
        <w:spacing w:after="120" w:line="276" w:lineRule="auto"/>
        <w:ind w:left="505" w:hanging="505"/>
        <w:jc w:val="both"/>
        <w:rPr>
          <w:rFonts w:cs="Times New Roman"/>
          <w:sz w:val="20"/>
          <w:szCs w:val="20"/>
        </w:rPr>
      </w:pPr>
      <w:r w:rsidRPr="00F675C4">
        <w:rPr>
          <w:rFonts w:cs="Times New Roman"/>
          <w:sz w:val="20"/>
          <w:szCs w:val="20"/>
        </w:rPr>
        <w:t>Zgłoszenie błędu krytycznego do 2 dni robocze  od zgłoszenia. Pod pojęciem błędu krytycznego Zamawiający rozumie całkowity brak działania systemu lub jego części uniemożliwiający dostęp do zgromadzonych danych, rejestrowania zleceń i/lub przyjmowania materiałów.</w:t>
      </w:r>
    </w:p>
    <w:p w14:paraId="2F2E13D4" w14:textId="77777777" w:rsidR="003F012A" w:rsidRPr="002901C0" w:rsidRDefault="003F012A" w:rsidP="00BF6190">
      <w:pPr>
        <w:pStyle w:val="Akapitzlist"/>
        <w:numPr>
          <w:ilvl w:val="2"/>
          <w:numId w:val="1"/>
        </w:numPr>
        <w:spacing w:after="120" w:line="276" w:lineRule="auto"/>
        <w:ind w:left="505" w:hanging="505"/>
        <w:jc w:val="both"/>
        <w:rPr>
          <w:rFonts w:cs="Times New Roman"/>
          <w:sz w:val="20"/>
          <w:szCs w:val="20"/>
        </w:rPr>
      </w:pPr>
      <w:r w:rsidRPr="00F675C4">
        <w:rPr>
          <w:rFonts w:cs="Times New Roman"/>
          <w:sz w:val="20"/>
          <w:szCs w:val="20"/>
        </w:rPr>
        <w:t>Zgłoszenie błędu poważnego (ograniczona praca w systemie) – do 7 dni roboczych</w:t>
      </w:r>
      <w:r w:rsidRPr="002901C0">
        <w:rPr>
          <w:rFonts w:cs="Times New Roman"/>
          <w:sz w:val="20"/>
          <w:szCs w:val="20"/>
        </w:rPr>
        <w:t xml:space="preserve"> od zgłoszenia. Pod pojęciem błędu poważnego Zamawiający rozumie takie ograniczenie pracy systemu, w wyniku którego nie jest możliwe prowadzenie diagnostyki w pełnym zakresie od przyjęcia zlecenia do wydania wyniku w wymaganym reżimie czasowym.</w:t>
      </w:r>
    </w:p>
    <w:p w14:paraId="15BB88C8" w14:textId="12F00D54" w:rsidR="003F012A" w:rsidRPr="00F675C4" w:rsidRDefault="003F012A" w:rsidP="00BF6190">
      <w:pPr>
        <w:pStyle w:val="Akapitzlist"/>
        <w:numPr>
          <w:ilvl w:val="2"/>
          <w:numId w:val="1"/>
        </w:numPr>
        <w:spacing w:after="120" w:line="276" w:lineRule="auto"/>
        <w:ind w:left="505" w:hanging="505"/>
        <w:jc w:val="both"/>
        <w:rPr>
          <w:rFonts w:cs="Times New Roman"/>
          <w:sz w:val="20"/>
          <w:szCs w:val="20"/>
        </w:rPr>
      </w:pPr>
      <w:r w:rsidRPr="002901C0">
        <w:rPr>
          <w:rFonts w:cs="Times New Roman"/>
          <w:sz w:val="20"/>
          <w:szCs w:val="20"/>
        </w:rPr>
        <w:lastRenderedPageBreak/>
        <w:t xml:space="preserve">Zgłoszenie błędu </w:t>
      </w:r>
      <w:r w:rsidRPr="00F675C4">
        <w:rPr>
          <w:rFonts w:cs="Times New Roman"/>
          <w:sz w:val="20"/>
          <w:szCs w:val="20"/>
        </w:rPr>
        <w:t>zwykłego – do 14 dni roboczych od zgłoszenia.</w:t>
      </w:r>
      <w:r w:rsidRPr="00F675C4">
        <w:rPr>
          <w:rFonts w:cs="Times New Roman"/>
          <w:sz w:val="20"/>
          <w:szCs w:val="20"/>
        </w:rPr>
        <w:br/>
        <w:t>Za błąd zwykły Zamawiający uznaje utrudnienia w pracy systemu (w tym brak płynności działania) lub brak dostępu do funkcjonalności, które mogą być realizowane w systemie w inny sposób.</w:t>
      </w:r>
    </w:p>
    <w:p w14:paraId="567B0F30" w14:textId="77777777" w:rsidR="003F012A" w:rsidRPr="00F675C4" w:rsidRDefault="003F012A" w:rsidP="003F012A">
      <w:pPr>
        <w:pStyle w:val="Akapitzlist"/>
        <w:numPr>
          <w:ilvl w:val="1"/>
          <w:numId w:val="1"/>
        </w:numPr>
        <w:spacing w:after="120" w:line="276" w:lineRule="auto"/>
        <w:ind w:left="426"/>
        <w:jc w:val="both"/>
        <w:rPr>
          <w:rFonts w:cs="Times New Roman"/>
          <w:sz w:val="20"/>
          <w:szCs w:val="20"/>
        </w:rPr>
      </w:pPr>
      <w:r w:rsidRPr="00F675C4">
        <w:rPr>
          <w:rFonts w:cs="Times New Roman"/>
          <w:sz w:val="20"/>
          <w:szCs w:val="20"/>
        </w:rPr>
        <w:t>W przypadku awarii systemu, której nie da się usunąć zdalnie, Wykonawca na własny koszt realizuje czynności w siedzibie Zamawiającego.</w:t>
      </w:r>
    </w:p>
    <w:p w14:paraId="4A02768F" w14:textId="77777777" w:rsidR="003F012A" w:rsidRPr="00F675C4" w:rsidRDefault="003F012A" w:rsidP="003F012A">
      <w:pPr>
        <w:pStyle w:val="Akapitzlist"/>
        <w:numPr>
          <w:ilvl w:val="1"/>
          <w:numId w:val="1"/>
        </w:numPr>
        <w:spacing w:after="120" w:line="276" w:lineRule="auto"/>
        <w:ind w:left="426"/>
        <w:jc w:val="both"/>
        <w:rPr>
          <w:rFonts w:cs="Times New Roman"/>
          <w:sz w:val="20"/>
          <w:szCs w:val="20"/>
        </w:rPr>
      </w:pPr>
      <w:r w:rsidRPr="00F675C4">
        <w:rPr>
          <w:rFonts w:cs="Times New Roman"/>
          <w:sz w:val="20"/>
          <w:szCs w:val="20"/>
        </w:rPr>
        <w:t>Zapewnienie stałej aktualności oferowanego systemu w okresie obsługi serwisowej.</w:t>
      </w:r>
    </w:p>
    <w:p w14:paraId="5B8B28C9" w14:textId="77777777" w:rsidR="003F012A" w:rsidRPr="00F675C4" w:rsidRDefault="003F012A" w:rsidP="003F012A">
      <w:pPr>
        <w:pStyle w:val="Akapitzlist"/>
        <w:numPr>
          <w:ilvl w:val="1"/>
          <w:numId w:val="1"/>
        </w:numPr>
        <w:spacing w:after="120" w:line="276" w:lineRule="auto"/>
        <w:ind w:left="426"/>
        <w:jc w:val="both"/>
        <w:rPr>
          <w:rFonts w:cs="Times New Roman"/>
          <w:sz w:val="20"/>
          <w:szCs w:val="20"/>
        </w:rPr>
      </w:pPr>
      <w:r w:rsidRPr="00F675C4">
        <w:rPr>
          <w:rFonts w:cs="Times New Roman"/>
          <w:sz w:val="20"/>
          <w:szCs w:val="20"/>
        </w:rPr>
        <w:t>Utrzymanie w sprawności technicznej interfejsów integracji po stronie oferowanego systemu w okresie obsługi serwisowej oraz reagowanie na błędy w integracjach i ich usuwanie bez zgłoszenia przez Zamawiającego.</w:t>
      </w:r>
    </w:p>
    <w:p w14:paraId="04A882E3" w14:textId="77777777" w:rsidR="003F012A" w:rsidRPr="00F675C4" w:rsidRDefault="003F012A" w:rsidP="003F012A">
      <w:pPr>
        <w:pStyle w:val="Akapitzlist"/>
        <w:numPr>
          <w:ilvl w:val="1"/>
          <w:numId w:val="1"/>
        </w:numPr>
        <w:spacing w:after="120" w:line="276" w:lineRule="auto"/>
        <w:ind w:left="426"/>
        <w:jc w:val="both"/>
        <w:rPr>
          <w:rFonts w:cs="Times New Roman"/>
          <w:sz w:val="20"/>
          <w:szCs w:val="20"/>
        </w:rPr>
      </w:pPr>
      <w:r w:rsidRPr="00F675C4">
        <w:rPr>
          <w:rFonts w:cs="Times New Roman"/>
          <w:sz w:val="20"/>
          <w:szCs w:val="20"/>
        </w:rPr>
        <w:t>Kopia danych realizowana w czasie rzeczywistym w postaci replikacji bazy na lustrzanym serwerze bazy danych w środowisku wirtualnym Zamawiającego. Wykonawca dostarczy Zamawiającemu obraz maszyny wirtualnej serwera replikacji oraz przekaże licencje na niezbędne oprogramowanie firm trzecich w tym systemy operacyjne i bazodanowe, o ile wymagają komercyjnego licencjonowania.</w:t>
      </w:r>
    </w:p>
    <w:p w14:paraId="4FB1E61A"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Codzienna kopia zapasowa danych zgromadzonych w bazie do systemu kopii bezpieczeństwa wskazanego przez Zamawiającego.</w:t>
      </w:r>
    </w:p>
    <w:p w14:paraId="76D550A7"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Wykonawca musi zapewnić:</w:t>
      </w:r>
    </w:p>
    <w:p w14:paraId="7084155E" w14:textId="77777777" w:rsidR="003F012A" w:rsidRPr="002901C0" w:rsidRDefault="003F012A" w:rsidP="00C812DE">
      <w:pPr>
        <w:pStyle w:val="Akapitzlist"/>
        <w:numPr>
          <w:ilvl w:val="2"/>
          <w:numId w:val="1"/>
        </w:numPr>
        <w:spacing w:after="120" w:line="276" w:lineRule="auto"/>
        <w:ind w:left="505" w:hanging="505"/>
        <w:jc w:val="both"/>
        <w:rPr>
          <w:rFonts w:cs="Times New Roman"/>
          <w:sz w:val="20"/>
          <w:szCs w:val="20"/>
        </w:rPr>
      </w:pPr>
      <w:r w:rsidRPr="002901C0">
        <w:rPr>
          <w:rFonts w:cs="Times New Roman"/>
          <w:sz w:val="20"/>
          <w:szCs w:val="20"/>
        </w:rPr>
        <w:t>całodobowy monitoring parametrów pracy i dostępności serwera;</w:t>
      </w:r>
    </w:p>
    <w:p w14:paraId="1634BD59" w14:textId="77777777" w:rsidR="003F012A" w:rsidRPr="002901C0" w:rsidRDefault="003F012A" w:rsidP="00C812DE">
      <w:pPr>
        <w:pStyle w:val="Akapitzlist"/>
        <w:numPr>
          <w:ilvl w:val="2"/>
          <w:numId w:val="1"/>
        </w:numPr>
        <w:spacing w:after="120" w:line="276" w:lineRule="auto"/>
        <w:ind w:left="505" w:hanging="505"/>
        <w:jc w:val="both"/>
        <w:rPr>
          <w:rFonts w:cs="Times New Roman"/>
          <w:sz w:val="20"/>
          <w:szCs w:val="20"/>
        </w:rPr>
      </w:pPr>
      <w:r w:rsidRPr="002901C0">
        <w:rPr>
          <w:rFonts w:cs="Times New Roman"/>
          <w:sz w:val="20"/>
          <w:szCs w:val="20"/>
        </w:rPr>
        <w:t>reagowanie na anomalie w pracy serwera, braki zasobów serwera, wydłużony czas wykonywania poleceń itp.</w:t>
      </w:r>
    </w:p>
    <w:p w14:paraId="0050BF1A"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r w:rsidRPr="002901C0">
        <w:rPr>
          <w:rFonts w:cs="Times New Roman"/>
          <w:sz w:val="20"/>
          <w:szCs w:val="20"/>
        </w:rPr>
        <w:t>Wykonawca musi zapewnić wprowadzanie wszelkich zmian konfiguracji systemu na życzenie Zamawiającego.</w:t>
      </w:r>
    </w:p>
    <w:p w14:paraId="34BFEBAA" w14:textId="77777777" w:rsidR="003F012A" w:rsidRPr="002901C0" w:rsidRDefault="003F012A" w:rsidP="003F012A">
      <w:pPr>
        <w:pStyle w:val="Akapitzlist"/>
        <w:numPr>
          <w:ilvl w:val="1"/>
          <w:numId w:val="1"/>
        </w:numPr>
        <w:spacing w:after="120" w:line="276" w:lineRule="auto"/>
        <w:ind w:left="426"/>
        <w:jc w:val="both"/>
        <w:rPr>
          <w:rFonts w:cs="Times New Roman"/>
          <w:sz w:val="20"/>
          <w:szCs w:val="20"/>
        </w:rPr>
      </w:pPr>
      <w:bookmarkStart w:id="7" w:name="_Ref187131819"/>
      <w:r w:rsidRPr="002901C0">
        <w:rPr>
          <w:rFonts w:cs="Times New Roman"/>
          <w:sz w:val="20"/>
          <w:szCs w:val="20"/>
        </w:rPr>
        <w:t xml:space="preserve">Rezerwacja pakietu godzin pracy programisty Wykonawcy w celu rozwoju systemu zgodnie z oczekiwaniami Zamawiającego, np. </w:t>
      </w:r>
      <w:r w:rsidRPr="00F675C4">
        <w:rPr>
          <w:rFonts w:cs="Times New Roman"/>
          <w:sz w:val="20"/>
          <w:szCs w:val="20"/>
        </w:rPr>
        <w:t>dodatkowe funkcje, raporty, szablony dokumentów, rozpoznania sformalizowane, raporty synoptyczne – 25  roboczogodzin w skali roku</w:t>
      </w:r>
      <w:r w:rsidRPr="002901C0">
        <w:rPr>
          <w:rFonts w:cs="Times New Roman"/>
          <w:sz w:val="20"/>
          <w:szCs w:val="20"/>
        </w:rPr>
        <w:t xml:space="preserve"> w okresie zaoferowanej gwarancji.</w:t>
      </w:r>
      <w:bookmarkEnd w:id="7"/>
    </w:p>
    <w:p w14:paraId="45AD5516" w14:textId="3CD77814" w:rsidR="003F012A" w:rsidRPr="00914EDC" w:rsidRDefault="003F012A" w:rsidP="003F012A">
      <w:pPr>
        <w:pStyle w:val="Nagwek1"/>
        <w:numPr>
          <w:ilvl w:val="0"/>
          <w:numId w:val="14"/>
        </w:numPr>
        <w:tabs>
          <w:tab w:val="num" w:pos="360"/>
        </w:tabs>
        <w:rPr>
          <w:rFonts w:asciiTheme="minorHAnsi" w:hAnsiTheme="minorHAnsi" w:cs="Times New Roman"/>
          <w:sz w:val="20"/>
          <w:szCs w:val="20"/>
        </w:rPr>
      </w:pPr>
      <w:bookmarkStart w:id="8" w:name="_Ref171597719"/>
      <w:bookmarkStart w:id="9" w:name="_Toc203118149"/>
      <w:r w:rsidRPr="002901C0">
        <w:rPr>
          <w:rFonts w:asciiTheme="minorHAnsi" w:hAnsiTheme="minorHAnsi" w:cs="Times New Roman"/>
          <w:sz w:val="20"/>
          <w:szCs w:val="20"/>
        </w:rPr>
        <w:t>Moduł obsługi Patomorfologii – wymagania ogólne</w:t>
      </w:r>
      <w:bookmarkEnd w:id="8"/>
      <w:bookmarkEnd w:id="9"/>
    </w:p>
    <w:p w14:paraId="25A60D5A" w14:textId="77777777" w:rsidR="003F012A" w:rsidRPr="002901C0" w:rsidRDefault="003F012A" w:rsidP="003F012A">
      <w:pPr>
        <w:pStyle w:val="Akapitzlist"/>
        <w:numPr>
          <w:ilvl w:val="1"/>
          <w:numId w:val="14"/>
        </w:numPr>
        <w:spacing w:after="120" w:line="276" w:lineRule="auto"/>
        <w:ind w:left="426"/>
        <w:jc w:val="both"/>
        <w:rPr>
          <w:rFonts w:cs="Times New Roman"/>
          <w:sz w:val="20"/>
          <w:szCs w:val="20"/>
        </w:rPr>
      </w:pPr>
      <w:r w:rsidRPr="002901C0">
        <w:rPr>
          <w:rFonts w:cs="Times New Roman"/>
          <w:sz w:val="20"/>
          <w:szCs w:val="20"/>
        </w:rPr>
        <w:t>Moduł do śledzenia pełnego obiegu próbki oraz obsługi następujących typów badań: histopatologia, badania śródoperacyjne (introwe), immunohistochemia, histochemia, cytologia ginekologiczna, cytologia aspiracyjna cienkoigłowa, autopsje, konsultacje, badania naukowe.</w:t>
      </w:r>
    </w:p>
    <w:p w14:paraId="6E5B0B43" w14:textId="77777777" w:rsidR="003F012A" w:rsidRPr="002901C0" w:rsidRDefault="003F012A" w:rsidP="003F012A">
      <w:pPr>
        <w:pStyle w:val="Akapitzlist"/>
        <w:numPr>
          <w:ilvl w:val="1"/>
          <w:numId w:val="14"/>
        </w:numPr>
        <w:spacing w:after="120" w:line="276" w:lineRule="auto"/>
        <w:ind w:left="426"/>
        <w:jc w:val="both"/>
        <w:rPr>
          <w:rFonts w:cs="Times New Roman"/>
          <w:sz w:val="20"/>
          <w:szCs w:val="20"/>
        </w:rPr>
      </w:pPr>
      <w:r w:rsidRPr="002901C0">
        <w:rPr>
          <w:rFonts w:cs="Times New Roman"/>
          <w:sz w:val="20"/>
          <w:szCs w:val="20"/>
        </w:rPr>
        <w:t>System zgodny z przepisami obowiązującego prawa w Polsce w dniu wdrożenia, w szczególności:</w:t>
      </w:r>
    </w:p>
    <w:p w14:paraId="35CBF3D0" w14:textId="77777777" w:rsidR="003F012A" w:rsidRPr="002901C0" w:rsidRDefault="003F012A" w:rsidP="00C812DE">
      <w:pPr>
        <w:pStyle w:val="Akapitzlist"/>
        <w:numPr>
          <w:ilvl w:val="2"/>
          <w:numId w:val="14"/>
        </w:numPr>
        <w:spacing w:after="120" w:line="276" w:lineRule="auto"/>
        <w:ind w:left="584"/>
        <w:jc w:val="both"/>
        <w:rPr>
          <w:rFonts w:cs="Times New Roman"/>
          <w:sz w:val="20"/>
          <w:szCs w:val="20"/>
        </w:rPr>
      </w:pPr>
      <w:r w:rsidRPr="002901C0">
        <w:rPr>
          <w:rFonts w:cs="Times New Roman"/>
          <w:sz w:val="20"/>
          <w:szCs w:val="20"/>
        </w:rPr>
        <w:t>Rozporządzenie Ministra Zdrowia z dnia 18 grudnia 2017 r. (wraz z późniejszymi zmianami) w sprawie standardów organizacyjnych opieki zdrowotnej w dziedzinie patomorfologii;</w:t>
      </w:r>
    </w:p>
    <w:p w14:paraId="6C5550BF" w14:textId="77777777" w:rsidR="003F012A" w:rsidRPr="002901C0" w:rsidRDefault="003F012A" w:rsidP="00C812DE">
      <w:pPr>
        <w:pStyle w:val="Akapitzlist"/>
        <w:numPr>
          <w:ilvl w:val="2"/>
          <w:numId w:val="14"/>
        </w:numPr>
        <w:spacing w:after="120" w:line="276" w:lineRule="auto"/>
        <w:ind w:left="584"/>
        <w:jc w:val="both"/>
        <w:rPr>
          <w:rFonts w:cs="Times New Roman"/>
          <w:sz w:val="20"/>
          <w:szCs w:val="20"/>
        </w:rPr>
      </w:pPr>
      <w:r w:rsidRPr="002901C0">
        <w:rPr>
          <w:rFonts w:cs="Times New Roman"/>
          <w:sz w:val="20"/>
          <w:szCs w:val="20"/>
        </w:rPr>
        <w:t>„Standardy organizacyjne oraz standardy postępowania w patomorfologii - Wytyczne dla zakładów/pracowni patomorfologii” (Ministerstwo Zdrowia, Polskie Towarzystwo Patologów, 2020);</w:t>
      </w:r>
    </w:p>
    <w:p w14:paraId="20079597" w14:textId="77777777" w:rsidR="003F012A" w:rsidRPr="002901C0" w:rsidRDefault="003F012A" w:rsidP="00C812DE">
      <w:pPr>
        <w:pStyle w:val="Akapitzlist"/>
        <w:numPr>
          <w:ilvl w:val="2"/>
          <w:numId w:val="14"/>
        </w:numPr>
        <w:spacing w:after="120" w:line="276" w:lineRule="auto"/>
        <w:ind w:left="584"/>
        <w:jc w:val="both"/>
        <w:rPr>
          <w:rFonts w:cs="Times New Roman"/>
          <w:sz w:val="20"/>
          <w:szCs w:val="20"/>
        </w:rPr>
      </w:pPr>
      <w:r w:rsidRPr="002901C0">
        <w:rPr>
          <w:rFonts w:cs="Times New Roman"/>
          <w:sz w:val="20"/>
          <w:szCs w:val="20"/>
        </w:rPr>
        <w:t>Obwieszczenie Ministra Zdrowia z dnia 24 września 2021 r. w sprawie standardów akredytacyjnych w zakresie udzielania świadczeń zdrowotnych oraz funkcjonowania jednostek diagnostyki patomorfologicznej;</w:t>
      </w:r>
    </w:p>
    <w:p w14:paraId="5E029267" w14:textId="77777777" w:rsidR="003F012A" w:rsidRPr="002901C0" w:rsidRDefault="003F012A" w:rsidP="00C812DE">
      <w:pPr>
        <w:pStyle w:val="Akapitzlist"/>
        <w:numPr>
          <w:ilvl w:val="2"/>
          <w:numId w:val="14"/>
        </w:numPr>
        <w:spacing w:after="120" w:line="276" w:lineRule="auto"/>
        <w:ind w:left="584"/>
        <w:jc w:val="both"/>
        <w:rPr>
          <w:rFonts w:cs="Times New Roman"/>
          <w:sz w:val="20"/>
          <w:szCs w:val="20"/>
        </w:rPr>
      </w:pPr>
      <w:r w:rsidRPr="002901C0">
        <w:rPr>
          <w:rFonts w:cs="Times New Roman"/>
          <w:sz w:val="20"/>
          <w:szCs w:val="20"/>
        </w:rPr>
        <w:t>Ustawa o Krajowej Sieci Onkologicznej z dnia 9 marca 2023 r. – w szczególności w zakresie zamieszczania wyników badań histopatologicznych zgodnie z art. 52 ww. ustawy.</w:t>
      </w:r>
    </w:p>
    <w:p w14:paraId="23B75D60" w14:textId="77777777" w:rsidR="003F012A" w:rsidRPr="002901C0" w:rsidRDefault="003F012A" w:rsidP="003F012A">
      <w:pPr>
        <w:pStyle w:val="Akapitzlist"/>
        <w:numPr>
          <w:ilvl w:val="1"/>
          <w:numId w:val="14"/>
        </w:numPr>
        <w:spacing w:after="120" w:line="276" w:lineRule="auto"/>
        <w:ind w:left="426"/>
        <w:jc w:val="both"/>
        <w:rPr>
          <w:rFonts w:cs="Times New Roman"/>
          <w:sz w:val="20"/>
          <w:szCs w:val="20"/>
        </w:rPr>
      </w:pPr>
      <w:r w:rsidRPr="002901C0">
        <w:rPr>
          <w:rFonts w:cs="Times New Roman"/>
          <w:sz w:val="20"/>
          <w:szCs w:val="20"/>
        </w:rPr>
        <w:t>W zakresie zgodności z przepisami prawa wymaga się także, aby oferowany system zapewniał:</w:t>
      </w:r>
    </w:p>
    <w:p w14:paraId="4C85EB30" w14:textId="77777777" w:rsidR="003F012A" w:rsidRPr="002901C0" w:rsidRDefault="003F012A" w:rsidP="00C812DE">
      <w:pPr>
        <w:pStyle w:val="Akapitzlist"/>
        <w:numPr>
          <w:ilvl w:val="2"/>
          <w:numId w:val="14"/>
        </w:numPr>
        <w:spacing w:after="120" w:line="276" w:lineRule="auto"/>
        <w:ind w:left="584"/>
        <w:jc w:val="both"/>
        <w:rPr>
          <w:rFonts w:cs="Times New Roman"/>
          <w:sz w:val="20"/>
          <w:szCs w:val="20"/>
        </w:rPr>
      </w:pPr>
      <w:r w:rsidRPr="002901C0">
        <w:rPr>
          <w:rFonts w:cs="Times New Roman"/>
          <w:sz w:val="20"/>
          <w:szCs w:val="20"/>
        </w:rPr>
        <w:t>elektronizację procesów opisanych w ww. dokumentach prawnych i wytycznych;</w:t>
      </w:r>
    </w:p>
    <w:p w14:paraId="489C7CEF" w14:textId="77777777" w:rsidR="003F012A" w:rsidRPr="002901C0" w:rsidRDefault="003F012A" w:rsidP="00C812DE">
      <w:pPr>
        <w:pStyle w:val="Akapitzlist"/>
        <w:numPr>
          <w:ilvl w:val="2"/>
          <w:numId w:val="14"/>
        </w:numPr>
        <w:spacing w:after="120" w:line="276" w:lineRule="auto"/>
        <w:ind w:left="584"/>
        <w:jc w:val="both"/>
        <w:rPr>
          <w:rFonts w:cs="Times New Roman"/>
          <w:sz w:val="20"/>
          <w:szCs w:val="20"/>
        </w:rPr>
      </w:pPr>
      <w:r w:rsidRPr="002901C0">
        <w:rPr>
          <w:rFonts w:cs="Times New Roman"/>
          <w:sz w:val="20"/>
          <w:szCs w:val="20"/>
        </w:rPr>
        <w:t>wyliczanie wymaganych mierników, raportów i rejestrów;</w:t>
      </w:r>
    </w:p>
    <w:p w14:paraId="3671B743" w14:textId="77777777" w:rsidR="003F012A" w:rsidRPr="002901C0" w:rsidRDefault="003F012A" w:rsidP="00C812DE">
      <w:pPr>
        <w:pStyle w:val="Akapitzlist"/>
        <w:numPr>
          <w:ilvl w:val="2"/>
          <w:numId w:val="14"/>
        </w:numPr>
        <w:spacing w:after="120" w:line="276" w:lineRule="auto"/>
        <w:ind w:left="584"/>
        <w:jc w:val="both"/>
        <w:rPr>
          <w:rFonts w:cs="Times New Roman"/>
          <w:sz w:val="20"/>
          <w:szCs w:val="20"/>
        </w:rPr>
      </w:pPr>
      <w:r w:rsidRPr="002901C0">
        <w:rPr>
          <w:rFonts w:cs="Times New Roman"/>
          <w:sz w:val="20"/>
          <w:szCs w:val="20"/>
        </w:rPr>
        <w:t>przechowywanie w bazie danych informacji w zakresie opisanym ww. dokumentami.</w:t>
      </w:r>
    </w:p>
    <w:p w14:paraId="43906865" w14:textId="77777777" w:rsidR="003F012A" w:rsidRPr="002901C0" w:rsidRDefault="003F012A" w:rsidP="003F012A">
      <w:pPr>
        <w:pStyle w:val="Akapitzlist"/>
        <w:numPr>
          <w:ilvl w:val="1"/>
          <w:numId w:val="14"/>
        </w:numPr>
        <w:spacing w:after="120" w:line="276" w:lineRule="auto"/>
        <w:ind w:left="426"/>
        <w:jc w:val="both"/>
        <w:rPr>
          <w:rFonts w:cs="Times New Roman"/>
          <w:sz w:val="20"/>
          <w:szCs w:val="20"/>
        </w:rPr>
      </w:pPr>
      <w:r w:rsidRPr="002901C0">
        <w:rPr>
          <w:rFonts w:cs="Times New Roman"/>
          <w:sz w:val="20"/>
          <w:szCs w:val="20"/>
        </w:rPr>
        <w:t xml:space="preserve">Rejestracja, edycja, zatwierdzanie przypadków. Minimalny zakres danych rejestrowanego przypadku zgodny z rozporządzeniem Ministra Zdrowia z dnia 18 grudnia 2017 r. (wraz z późniejszymi zmianami) w sprawie standardów organizacyjnych opieki zdrowotnej w dziedzinie patomorfologii, </w:t>
      </w:r>
      <w:r w:rsidRPr="002901C0">
        <w:rPr>
          <w:rFonts w:cs="Times New Roman"/>
          <w:sz w:val="20"/>
          <w:szCs w:val="20"/>
        </w:rPr>
        <w:lastRenderedPageBreak/>
        <w:t>rozporządzeniem Ministra Zdrowia z dnia 6 kwietnia 2020 r. (wraz z późniejszymi zmianami) w sprawie rodzajów, zakresu i wzorów dokumentacji medycznej oraz sposobu jej przetwarzania oraz „Standardami organizacyjnymi oraz standardami postępowania w patomorfologii - Wytyczne dla zakładów/pracowni patomorfologii” (Ministerstwo Zdrowia, Polskie Towarzystwo Patologów, 2020).</w:t>
      </w:r>
    </w:p>
    <w:p w14:paraId="1601C97B" w14:textId="77777777" w:rsidR="003F012A" w:rsidRPr="002901C0" w:rsidRDefault="003F012A" w:rsidP="003F012A">
      <w:pPr>
        <w:pStyle w:val="Akapitzlist"/>
        <w:numPr>
          <w:ilvl w:val="1"/>
          <w:numId w:val="14"/>
        </w:numPr>
        <w:spacing w:after="120" w:line="276" w:lineRule="auto"/>
        <w:ind w:left="426"/>
        <w:jc w:val="both"/>
        <w:rPr>
          <w:rFonts w:cs="Times New Roman"/>
          <w:sz w:val="20"/>
          <w:szCs w:val="20"/>
        </w:rPr>
      </w:pPr>
      <w:r w:rsidRPr="002901C0">
        <w:rPr>
          <w:rFonts w:cs="Times New Roman"/>
          <w:sz w:val="20"/>
          <w:szCs w:val="20"/>
        </w:rPr>
        <w:t>System powinien umożliwiać konfigurację pracy w formie wyłącznie cyfrowej – elektroniczne skierowania, zlecenia i skany preparatów, telepraca diagnozujących z całkowitym wyeliminowaniem dokumentacji papierowej w Zakładzie.</w:t>
      </w:r>
    </w:p>
    <w:p w14:paraId="5D9B1E8B" w14:textId="77777777" w:rsidR="003F012A" w:rsidRPr="002901C0" w:rsidRDefault="003F012A" w:rsidP="003F012A">
      <w:pPr>
        <w:pStyle w:val="Akapitzlist"/>
        <w:numPr>
          <w:ilvl w:val="1"/>
          <w:numId w:val="14"/>
        </w:numPr>
        <w:spacing w:after="120" w:line="276" w:lineRule="auto"/>
        <w:ind w:left="426"/>
        <w:jc w:val="both"/>
        <w:rPr>
          <w:rFonts w:cs="Times New Roman"/>
          <w:sz w:val="20"/>
          <w:szCs w:val="20"/>
        </w:rPr>
      </w:pPr>
      <w:r w:rsidRPr="002901C0">
        <w:rPr>
          <w:rFonts w:cs="Times New Roman"/>
          <w:sz w:val="20"/>
          <w:szCs w:val="20"/>
        </w:rPr>
        <w:t>Interfejs użytkownika adekwatnie do zakresu posiadanych uprawnień musi zawierać element (np. pasek statusu), w którym będą wyświetlane informacje o nieobsłużonych zleceniach: wypożyczeń obiektów z archiwum, barwień dodatkowych, przebarwień preparatów, dokrawania materiału (II rzutu), skanowania preparatów.</w:t>
      </w:r>
    </w:p>
    <w:p w14:paraId="22EF9071" w14:textId="77777777" w:rsidR="003F012A" w:rsidRPr="002901C0" w:rsidRDefault="003F012A" w:rsidP="003F012A">
      <w:pPr>
        <w:pStyle w:val="Akapitzlist"/>
        <w:numPr>
          <w:ilvl w:val="1"/>
          <w:numId w:val="14"/>
        </w:numPr>
        <w:spacing w:after="120" w:line="276" w:lineRule="auto"/>
        <w:ind w:left="426"/>
        <w:jc w:val="both"/>
        <w:rPr>
          <w:rFonts w:cs="Times New Roman"/>
          <w:sz w:val="20"/>
          <w:szCs w:val="20"/>
        </w:rPr>
      </w:pPr>
      <w:r w:rsidRPr="002901C0">
        <w:rPr>
          <w:rFonts w:cs="Times New Roman"/>
          <w:sz w:val="20"/>
          <w:szCs w:val="20"/>
        </w:rPr>
        <w:t>Generowanie plików PDF oraz PIK HL7-CDA z wynikami badań przy zatwierdzaniu wyniku. Wymagana implementacja szablonów PIK HL7-CDA dla: Opisu badania diagnostycznego, Sprawozdania z badania laboratoryjnego, Rozpoznania patomorfologicznego (w wariantach: histologia, cytologia). Merytoryczny wybór szablonu następuje zgodnie z rodzajem wykonanego badania w systemie. Niedopuszczalna jest implementacja polegająca na rejestracji w EDM wyników zawierających wyłącznie prezentacyjną formę wyniku (np. zagnieżdżony plik PDF).</w:t>
      </w:r>
    </w:p>
    <w:p w14:paraId="5B84FFA3" w14:textId="77777777" w:rsidR="003F012A" w:rsidRPr="002901C0" w:rsidRDefault="003F012A" w:rsidP="003F012A">
      <w:pPr>
        <w:pStyle w:val="Akapitzlist"/>
        <w:numPr>
          <w:ilvl w:val="1"/>
          <w:numId w:val="14"/>
        </w:numPr>
        <w:spacing w:after="120" w:line="276" w:lineRule="auto"/>
        <w:ind w:left="426"/>
        <w:jc w:val="both"/>
        <w:rPr>
          <w:rFonts w:cs="Times New Roman"/>
          <w:sz w:val="20"/>
          <w:szCs w:val="20"/>
        </w:rPr>
      </w:pPr>
      <w:r w:rsidRPr="002901C0">
        <w:rPr>
          <w:rFonts w:cs="Times New Roman"/>
          <w:sz w:val="20"/>
          <w:szCs w:val="20"/>
        </w:rPr>
        <w:t>Podpisywanie plików PDF oraz PIK HL7-CDA z wynikami badań podpisem elektronicznym (osadzonym w pliku). Obsługa znakowania dokumentów znacznikiem czasu. Dostarczenie opcjonalnej usługi znakowania zgodnej ze standardem RFC3161 czasem leży w gestii Zamawiającego. Podpis cyfrowy pod obiema formami wyniku (PDF i HL7-CDA) musi być składany z jednokrotnym podaniem kodu PIN (hasła) do certyfikatu. Możliwość podpisania podpisem elektronicznym wyników wstępnych i ostatecznych.</w:t>
      </w:r>
    </w:p>
    <w:p w14:paraId="18500016" w14:textId="77777777" w:rsidR="003F012A" w:rsidRPr="002901C0" w:rsidRDefault="003F012A" w:rsidP="003F012A">
      <w:pPr>
        <w:pStyle w:val="Akapitzlist"/>
        <w:numPr>
          <w:ilvl w:val="1"/>
          <w:numId w:val="14"/>
        </w:numPr>
        <w:spacing w:after="120" w:line="276" w:lineRule="auto"/>
        <w:ind w:left="426"/>
        <w:jc w:val="both"/>
        <w:rPr>
          <w:rFonts w:cs="Times New Roman"/>
          <w:sz w:val="20"/>
          <w:szCs w:val="20"/>
        </w:rPr>
      </w:pPr>
      <w:r w:rsidRPr="002901C0">
        <w:rPr>
          <w:rFonts w:cs="Times New Roman"/>
          <w:sz w:val="20"/>
          <w:szCs w:val="20"/>
        </w:rPr>
        <w:t>Możliwość wykorzystania podpisów kwalifikowanych (przechowywanych na fizycznym nośniku lub chmurowych), niekwalifikowanych oraz certyfikatów ZUS. Możliwość importu certyfikatu niekwalifikowanego do systemu w celu wykorzystania go na dowolnym stanowisku, na które zaloguje się użytkownik, bez konieczności ponownego importu certyfikatu.</w:t>
      </w:r>
    </w:p>
    <w:p w14:paraId="502006BC" w14:textId="77777777" w:rsidR="003F012A" w:rsidRPr="002901C0" w:rsidRDefault="003F012A" w:rsidP="003F012A">
      <w:pPr>
        <w:pStyle w:val="Akapitzlist"/>
        <w:numPr>
          <w:ilvl w:val="1"/>
          <w:numId w:val="14"/>
        </w:numPr>
        <w:spacing w:after="120" w:line="276" w:lineRule="auto"/>
        <w:ind w:left="426"/>
        <w:jc w:val="both"/>
        <w:rPr>
          <w:rFonts w:cs="Times New Roman"/>
          <w:sz w:val="20"/>
          <w:szCs w:val="20"/>
        </w:rPr>
      </w:pPr>
      <w:r w:rsidRPr="002901C0">
        <w:rPr>
          <w:rFonts w:cs="Times New Roman"/>
          <w:sz w:val="20"/>
          <w:szCs w:val="20"/>
        </w:rPr>
        <w:t>Podpisywanie hurtowe podpisem cyfrowym z jednorazowym podaniem kodu PIN (hasła).</w:t>
      </w:r>
    </w:p>
    <w:p w14:paraId="77AF43B8" w14:textId="77777777" w:rsidR="003F012A" w:rsidRPr="002901C0" w:rsidRDefault="003F012A" w:rsidP="003F012A">
      <w:pPr>
        <w:pStyle w:val="Akapitzlist"/>
        <w:ind w:left="426"/>
        <w:jc w:val="both"/>
        <w:rPr>
          <w:rFonts w:cs="Times New Roman"/>
          <w:sz w:val="20"/>
          <w:szCs w:val="20"/>
        </w:rPr>
      </w:pPr>
    </w:p>
    <w:p w14:paraId="56355C9C" w14:textId="37961FFE" w:rsidR="003F012A" w:rsidRPr="00914EDC" w:rsidRDefault="003F012A" w:rsidP="003F012A">
      <w:pPr>
        <w:pStyle w:val="Nagwek1"/>
        <w:numPr>
          <w:ilvl w:val="0"/>
          <w:numId w:val="14"/>
        </w:numPr>
        <w:tabs>
          <w:tab w:val="num" w:pos="360"/>
        </w:tabs>
        <w:rPr>
          <w:rFonts w:asciiTheme="minorHAnsi" w:hAnsiTheme="minorHAnsi" w:cs="Times New Roman"/>
          <w:sz w:val="20"/>
          <w:szCs w:val="20"/>
        </w:rPr>
      </w:pPr>
      <w:bookmarkStart w:id="10" w:name="_Ref171596667"/>
      <w:bookmarkStart w:id="11" w:name="_Toc203118150"/>
      <w:r w:rsidRPr="002901C0">
        <w:rPr>
          <w:rFonts w:asciiTheme="minorHAnsi" w:hAnsiTheme="minorHAnsi" w:cs="Times New Roman"/>
          <w:sz w:val="20"/>
          <w:szCs w:val="20"/>
        </w:rPr>
        <w:t>Wyszukiwanie</w:t>
      </w:r>
      <w:bookmarkEnd w:id="10"/>
      <w:bookmarkEnd w:id="11"/>
    </w:p>
    <w:p w14:paraId="582EC275"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bookmarkStart w:id="12" w:name="_Ref171595966"/>
      <w:r w:rsidRPr="002901C0">
        <w:rPr>
          <w:rFonts w:cs="Times New Roman"/>
          <w:sz w:val="20"/>
          <w:szCs w:val="20"/>
        </w:rPr>
        <w:t>Możliwość wyszukiwania przypadków wg kryteriów:</w:t>
      </w:r>
      <w:bookmarkEnd w:id="12"/>
    </w:p>
    <w:p w14:paraId="14E6F107"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bookmarkStart w:id="13" w:name="_Hlk171672881"/>
      <w:r w:rsidRPr="002901C0">
        <w:rPr>
          <w:rFonts w:cs="Times New Roman"/>
          <w:sz w:val="20"/>
          <w:szCs w:val="20"/>
        </w:rPr>
        <w:t>kod kreskowy dowolnego z obiektów w systemie,</w:t>
      </w:r>
    </w:p>
    <w:p w14:paraId="7AB949F2"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numer księgi pracowni, ID systemowy (unikatowy) przypadku,</w:t>
      </w:r>
    </w:p>
    <w:p w14:paraId="3156AFCB"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nazwisko i imię pacjenta (włącznie z fragmentami),</w:t>
      </w:r>
    </w:p>
    <w:p w14:paraId="65A2C15B"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płeć,</w:t>
      </w:r>
    </w:p>
    <w:bookmarkEnd w:id="13"/>
    <w:p w14:paraId="2FE0AC42"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PESEL,</w:t>
      </w:r>
    </w:p>
    <w:p w14:paraId="593D1E8A"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wiek,</w:t>
      </w:r>
    </w:p>
    <w:p w14:paraId="18C987AD"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identyfikator zewnętrzny pacjenta (np. PID z systemu szpitalnego HIS),</w:t>
      </w:r>
    </w:p>
    <w:p w14:paraId="0666AEC6"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daty: pobrania materiału (zabiegu), rejestracji przypadku, przekazania przypadku osobie odpowiedzialnej, zatwierdzenia przypadku, oczekiwana data wyniku, podpisu elektronicznego wyniku, data wydruku wyniku,</w:t>
      </w:r>
    </w:p>
    <w:p w14:paraId="2C4B9AE0"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nr SIMP,</w:t>
      </w:r>
    </w:p>
    <w:p w14:paraId="6B815F03"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 xml:space="preserve"> lekarz kierujący,</w:t>
      </w:r>
    </w:p>
    <w:p w14:paraId="5D26D58C"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 xml:space="preserve"> rozpoznanie kliniczne (włącznie z fragmentami),</w:t>
      </w:r>
    </w:p>
    <w:p w14:paraId="35DB456F"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 xml:space="preserve"> zlecający, oddział (jedn. org.) zlecającego,</w:t>
      </w:r>
    </w:p>
    <w:p w14:paraId="38038A8B"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 xml:space="preserve"> numer i typ badania,</w:t>
      </w:r>
    </w:p>
    <w:p w14:paraId="7AE6BA74"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lastRenderedPageBreak/>
        <w:t xml:space="preserve"> numer i typ materiału, podtyp materiału,</w:t>
      </w:r>
    </w:p>
    <w:p w14:paraId="008BEAAE"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 xml:space="preserve"> typ zleconej usługi,</w:t>
      </w:r>
    </w:p>
    <w:p w14:paraId="12B6D654"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 xml:space="preserve"> numer i typ preparatu, typ grupy preparatów,</w:t>
      </w:r>
    </w:p>
    <w:p w14:paraId="0B490214"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 xml:space="preserve"> marker histologiczny powiązany z typem preparatu</w:t>
      </w:r>
    </w:p>
    <w:p w14:paraId="0AE162AB"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 xml:space="preserve"> diagnozujący, diagnozujący 2, konsultujący, lek. wykrawający, osoba odpowiedzialna za wynik, osoba rejestrująca,</w:t>
      </w:r>
    </w:p>
    <w:p w14:paraId="0392E818"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 xml:space="preserve"> rozpoznanie (włącznie z fragmentami),</w:t>
      </w:r>
    </w:p>
    <w:p w14:paraId="35DE91C3"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 xml:space="preserve"> miejsce pobrania (włącznie z fragmentami),</w:t>
      </w:r>
    </w:p>
    <w:p w14:paraId="368AA80A"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 xml:space="preserve"> topografia ze zdefiniowanego słownika,</w:t>
      </w:r>
    </w:p>
    <w:p w14:paraId="005D60BA"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 xml:space="preserve"> lokalizacja preparatu, lokalizacja skierowania</w:t>
      </w:r>
    </w:p>
    <w:p w14:paraId="195471ED"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 xml:space="preserve"> statusy: zatwierdzenia przypadku, wydrukowania przypadku, kontrasygnaty 2. diagnozującego, kontrasygnaty konsultanta, wydania wyniku zlecającemu, wygenerowania wyniku w pliku PDF (Tak/Nie), podpisu elektronicznego wyniku (Tak/Nie), status logistyczny przypadku, wynik do weryfikacji (Tak/Nie), materiał posiada załącznik (Tak/Nie), preparat posiada skan (Tak/Nie), zdiagnozowano nowotwór złośliwy (Tak/Nie),</w:t>
      </w:r>
    </w:p>
    <w:p w14:paraId="57A346F9"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 xml:space="preserve"> rozpoznanie cytologiczne wg Bethesda (w tym kombinacja wielu warunków i/lub/nie posiada),</w:t>
      </w:r>
    </w:p>
    <w:p w14:paraId="2DE6974E"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 xml:space="preserve"> rodzaj rozpoznania sformalizowanego (np. wybrany raport synoptyczny), wartości pól rozpoznań sformalizowanych,</w:t>
      </w:r>
    </w:p>
    <w:p w14:paraId="02475705"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 xml:space="preserve"> zdefiniowane przez użytkownika znaczniki przypisywane do przypadku (w tym ich kombinacje za pomocą spójników logicznych I/LUB),</w:t>
      </w:r>
    </w:p>
    <w:p w14:paraId="05E1F977"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 xml:space="preserve"> tryb przyjęcia (pilność),</w:t>
      </w:r>
    </w:p>
    <w:p w14:paraId="492C08DF"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 xml:space="preserve"> projekt, w ramach którego realizowany jest przypadek,</w:t>
      </w:r>
    </w:p>
    <w:p w14:paraId="395D3E28"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 xml:space="preserve"> ścieżka kliniczna,</w:t>
      </w:r>
    </w:p>
    <w:p w14:paraId="49264CFD"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 xml:space="preserve"> wewnętrzna jednostka organizacyjna rejestrująca (przyjmująca) przypadek.</w:t>
      </w:r>
    </w:p>
    <w:p w14:paraId="5D645230"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Możliwość zdefiniowania przez użytkownika kolumn wyświetlanej listy wyników przypadków spełniających kryteria wyszukiwania.</w:t>
      </w:r>
    </w:p>
    <w:p w14:paraId="6CB1D1D4"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t>Minimalny zakres kolumn do wyboru: Liczba porządkowa, identyfikator pacjenta, numer przypadku, imię i nazwisko pacjenta, PESEL, zlecający/oddział, data rejestracji, data zatwierdzenia, kod kreskowy badania umożliwiający wejście w przypadek poprzez zeskanowanie kodu z wydrukowanej listy.</w:t>
      </w:r>
    </w:p>
    <w:p w14:paraId="7CCB9C69"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Możliwość hurtowego wydruku wyników przypadków spełniających kryteria wyszukiwania wraz z określoną liczbą kopii zdefiniowaną w kontekście zlecanego badanie oraz alternatywnie ustaloną arbitralnie przez użytkownika.</w:t>
      </w:r>
    </w:p>
    <w:p w14:paraId="2A3C65A7"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Możliwość wydruku tabelarycznej listy przypadków spełniających kryteria wyszukiwania.</w:t>
      </w:r>
    </w:p>
    <w:p w14:paraId="6A1474BB"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Możliwość wydruku statystyk ilościowych przypadków spełniających kryteria wyszukiwania, zawierających sumaryczne ilości wykonanych badań, preparatów, etapów procesu.</w:t>
      </w:r>
    </w:p>
    <w:p w14:paraId="2DCF2B90"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 xml:space="preserve">Zapisywanie kryteriów wyszukiwania i definiowanie ich jako „ulubionych” dla definiującego je użytkownika. </w:t>
      </w:r>
    </w:p>
    <w:p w14:paraId="7FC6EFED" w14:textId="77777777" w:rsidR="003F012A" w:rsidRPr="002901C0" w:rsidRDefault="003F012A" w:rsidP="003F012A">
      <w:pPr>
        <w:pStyle w:val="Akapitzlist"/>
        <w:numPr>
          <w:ilvl w:val="1"/>
          <w:numId w:val="14"/>
        </w:numPr>
        <w:spacing w:after="120" w:line="276" w:lineRule="auto"/>
        <w:ind w:left="567"/>
        <w:rPr>
          <w:rFonts w:cs="Times New Roman"/>
          <w:sz w:val="20"/>
          <w:szCs w:val="20"/>
        </w:rPr>
      </w:pPr>
      <w:r w:rsidRPr="002901C0">
        <w:rPr>
          <w:rFonts w:cs="Times New Roman"/>
          <w:sz w:val="20"/>
          <w:szCs w:val="20"/>
        </w:rPr>
        <w:t>Możliwość przypinania poszczególnym użytkownikom zapisanych kryteriów wyszukiwania („ulubionych”) przez osobę upoważnioną do zarządzania użytkownikami.</w:t>
      </w:r>
    </w:p>
    <w:p w14:paraId="0DEF5548"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Generowanie wykresów trendu dla „ulubionych” statystyk dla definiującego je użytkownika, automatycznie raz na dobę.</w:t>
      </w:r>
    </w:p>
    <w:p w14:paraId="31A75A23"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Możliwość definiowania własnych atrybutów (znaczników) dla przypadków i późniejsze wyszukiwanie po tych atrybutach (także ich kombinacji).</w:t>
      </w:r>
    </w:p>
    <w:p w14:paraId="7C39C648"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Możliwość eksportu danych z odfiltrowanych badań w wyszukiwarce do pliku Excel XML (lub CSV) oraz PDF w celu dalszej analizy lub obróbki statystycznej.</w:t>
      </w:r>
    </w:p>
    <w:p w14:paraId="6203D8AC" w14:textId="7ACBDD04" w:rsidR="003F012A" w:rsidRPr="00914EDC" w:rsidRDefault="003F012A" w:rsidP="003F012A">
      <w:pPr>
        <w:pStyle w:val="Nagwek1"/>
        <w:numPr>
          <w:ilvl w:val="0"/>
          <w:numId w:val="14"/>
        </w:numPr>
        <w:tabs>
          <w:tab w:val="num" w:pos="360"/>
        </w:tabs>
        <w:rPr>
          <w:rFonts w:asciiTheme="minorHAnsi" w:hAnsiTheme="minorHAnsi" w:cs="Times New Roman"/>
          <w:sz w:val="20"/>
          <w:szCs w:val="20"/>
        </w:rPr>
      </w:pPr>
      <w:bookmarkStart w:id="14" w:name="_Toc203118151"/>
      <w:r w:rsidRPr="002901C0">
        <w:rPr>
          <w:rFonts w:asciiTheme="minorHAnsi" w:hAnsiTheme="minorHAnsi" w:cs="Times New Roman"/>
          <w:sz w:val="20"/>
          <w:szCs w:val="20"/>
        </w:rPr>
        <w:lastRenderedPageBreak/>
        <w:t>Obsługa badań</w:t>
      </w:r>
      <w:bookmarkEnd w:id="14"/>
    </w:p>
    <w:p w14:paraId="489C24B0"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Dodawanie, edycja, usuwanie materiału diagnostycznego.</w:t>
      </w:r>
    </w:p>
    <w:p w14:paraId="2938447D"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Dodawanie, edycja, usuwanie lokalizacji anatomicznych w ramach materiału diagnostycznego.</w:t>
      </w:r>
    </w:p>
    <w:p w14:paraId="6EA82D00"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Dodawanie, edycja, usuwanie badań (np. kasetek/bloczków).</w:t>
      </w:r>
    </w:p>
    <w:p w14:paraId="44D33EAD"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Dodawanie, edycja, usuwanie preparatów.</w:t>
      </w:r>
    </w:p>
    <w:p w14:paraId="77185F6A"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Dodawanie, edycja, usuwanie rozpoznań do badań w przypadku.</w:t>
      </w:r>
    </w:p>
    <w:p w14:paraId="7D116D46"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Wydruk zatwierdzonego przypadku lub w statusie „wynik wstępny”. Możliwość podglądu wydruku przed autoryzacją lub wydrukowaniem.</w:t>
      </w:r>
    </w:p>
    <w:p w14:paraId="209A1BBB"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Podgląd historii operacji użytkowników w kontekście przypadku, materiału diagnostycznego, lokalizacji, badań i preparatów.</w:t>
      </w:r>
    </w:p>
    <w:p w14:paraId="53268DCE"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Przechowywanie historycznej wersji wszystkich wyników przypadku.</w:t>
      </w:r>
    </w:p>
    <w:p w14:paraId="091AEC82"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Możliwość zdefiniowania nazewnictwa osób uczestniczących w procesie diagnostycznym w zależności od typu badania.</w:t>
      </w:r>
      <w:r w:rsidRPr="002901C0">
        <w:rPr>
          <w:rFonts w:cs="Times New Roman"/>
          <w:sz w:val="20"/>
          <w:szCs w:val="20"/>
        </w:rPr>
        <w:tab/>
      </w:r>
    </w:p>
    <w:p w14:paraId="68EFF471"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Możliwość podpinania załączników (np. dokument Microsoft Word, zdjęcie) pod dowolne skierowanie, materiał, badanie, preparat, etap procesu i zlecenie wypożyczenia.</w:t>
      </w:r>
    </w:p>
    <w:p w14:paraId="58817C40"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 xml:space="preserve">Możliwość zdefiniowania procedur wykonywanych przy odpowiedniej akcji (np. dodaj materiał, edytuj materiał), które mogą realizować automatyzację działań, np. podpinanie procedur rozliczeniowych, generowanie statystyk, dodawanie rutynowych preparatów itp. </w:t>
      </w:r>
    </w:p>
    <w:p w14:paraId="7A887DFC"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W przypadku słownika barwień dodatkowych możliwość definiowania pozycji preferowanych przez użytkownika.</w:t>
      </w:r>
    </w:p>
    <w:p w14:paraId="61562B79"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Szablony globalne (widoczne per jednostka organizacyjna) typowych tekstów (rozpoznanie kliniczne, obraz makroskopowy, rozpoznanie patomorfologiczne, komentarze, uwagi do wyniku itp.) zarządzane przez użytkownika z odpowiednim poziomem uprawnień.</w:t>
      </w:r>
    </w:p>
    <w:p w14:paraId="41CEB59F"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Szablony prywatne typowych tekstów (rozpoznanie kliniczne, obraz makroskopowy, rozpoznanie patomorfologiczne,  komentarze, uwagi do wyniku itp.) widoczne i edytowalne tylko przez osobę tworzącą.</w:t>
      </w:r>
    </w:p>
    <w:p w14:paraId="321A677C"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Funkcja cesji przypadku do innego odpowiedzialnego.</w:t>
      </w:r>
    </w:p>
    <w:p w14:paraId="3A00C7E7"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Obsługa wycinków histopatologicznych wymagających odwapniania lub dotrwalania.</w:t>
      </w:r>
    </w:p>
    <w:p w14:paraId="4B01CA2D"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Możliwość szybkiego dostępu do innych badań pacjenta realizowanych w systemie (dostęp z poziomu zarejestrowanego przypadku).</w:t>
      </w:r>
    </w:p>
    <w:p w14:paraId="44F8A45F" w14:textId="61BC892B" w:rsidR="003F012A" w:rsidRPr="00132128" w:rsidRDefault="003F012A" w:rsidP="003F012A">
      <w:pPr>
        <w:pStyle w:val="Nagwek1"/>
        <w:numPr>
          <w:ilvl w:val="0"/>
          <w:numId w:val="14"/>
        </w:numPr>
        <w:tabs>
          <w:tab w:val="num" w:pos="360"/>
        </w:tabs>
        <w:rPr>
          <w:rFonts w:asciiTheme="minorHAnsi" w:hAnsiTheme="minorHAnsi" w:cs="Times New Roman"/>
          <w:sz w:val="20"/>
          <w:szCs w:val="20"/>
        </w:rPr>
      </w:pPr>
      <w:bookmarkStart w:id="15" w:name="_Toc203118152"/>
      <w:r w:rsidRPr="002901C0">
        <w:rPr>
          <w:rFonts w:asciiTheme="minorHAnsi" w:hAnsiTheme="minorHAnsi" w:cs="Times New Roman"/>
          <w:sz w:val="20"/>
          <w:szCs w:val="20"/>
        </w:rPr>
        <w:t>Kontrola jakości, terminowość badań i zdarzenia niepożądane</w:t>
      </w:r>
      <w:bookmarkEnd w:id="15"/>
    </w:p>
    <w:p w14:paraId="11C69D77"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Kontekstowy rejestr zdarzeń kontroli jakości z dokładnością do przypadku/skierowania, materiału, badania, preparatu, wypożyczenia, etapu procesu, odwapniacza.</w:t>
      </w:r>
    </w:p>
    <w:p w14:paraId="0B93A69D"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Kategoria zgłoszenia kontroli jakości do wyboru ze słownika konfigurowalnego przez upoważnionego użytkownika. Zgłoszenie musi mieć powiązanie z osobą zgłaszającą i odpowiedzialną. Automatyczne, dynamiczne określanie osoby odpowiedzialnej za rozwiązanie danego zgłoszenia na podstawie konfiguracji w typie zgłoszenia (np. za błąd zatopienia bloczka odpowiada osoba faktycznie zatapiająca ten bloczek).</w:t>
      </w:r>
    </w:p>
    <w:p w14:paraId="3A6B9A58"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Możliwość wykorzystania zdarzeń kontroli jakości do sporządzania statystyk zdarzeń zachodzących w jednostce.</w:t>
      </w:r>
    </w:p>
    <w:p w14:paraId="4D0CFC7B" w14:textId="77777777" w:rsidR="003F012A" w:rsidRPr="002901C0" w:rsidRDefault="003F012A" w:rsidP="003F012A">
      <w:pPr>
        <w:pStyle w:val="Akapitzlist"/>
        <w:numPr>
          <w:ilvl w:val="1"/>
          <w:numId w:val="14"/>
        </w:numPr>
        <w:spacing w:after="120" w:line="276" w:lineRule="auto"/>
        <w:ind w:left="567"/>
        <w:rPr>
          <w:rFonts w:cs="Times New Roman"/>
          <w:sz w:val="20"/>
          <w:szCs w:val="20"/>
        </w:rPr>
      </w:pPr>
      <w:r w:rsidRPr="002901C0">
        <w:rPr>
          <w:rFonts w:cs="Times New Roman"/>
          <w:sz w:val="20"/>
          <w:szCs w:val="20"/>
        </w:rPr>
        <w:t>Możliwość automatycznego dodawania zdarzeń kontroli jakości w przypadku wykrycia przez system sytuacji nietypowych, takich tak:</w:t>
      </w:r>
    </w:p>
    <w:p w14:paraId="063EE4B6" w14:textId="77777777" w:rsidR="003F012A" w:rsidRPr="002901C0" w:rsidRDefault="003F012A" w:rsidP="003F012A">
      <w:pPr>
        <w:pStyle w:val="Akapitzlist"/>
        <w:numPr>
          <w:ilvl w:val="2"/>
          <w:numId w:val="14"/>
        </w:numPr>
        <w:spacing w:after="120" w:line="276" w:lineRule="auto"/>
        <w:ind w:left="1134"/>
        <w:rPr>
          <w:rFonts w:cs="Times New Roman"/>
          <w:sz w:val="20"/>
          <w:szCs w:val="20"/>
        </w:rPr>
      </w:pPr>
      <w:r w:rsidRPr="002901C0">
        <w:rPr>
          <w:rFonts w:cs="Times New Roman"/>
          <w:sz w:val="20"/>
          <w:szCs w:val="20"/>
        </w:rPr>
        <w:t>przekazano niekompletny przypadek do diagnostyki;</w:t>
      </w:r>
    </w:p>
    <w:p w14:paraId="35D8CE6B" w14:textId="77777777" w:rsidR="003F012A" w:rsidRPr="002901C0" w:rsidRDefault="003F012A" w:rsidP="003F012A">
      <w:pPr>
        <w:pStyle w:val="Akapitzlist"/>
        <w:numPr>
          <w:ilvl w:val="2"/>
          <w:numId w:val="14"/>
        </w:numPr>
        <w:spacing w:after="120" w:line="276" w:lineRule="auto"/>
        <w:ind w:left="1134"/>
        <w:rPr>
          <w:rFonts w:cs="Times New Roman"/>
          <w:sz w:val="20"/>
          <w:szCs w:val="20"/>
        </w:rPr>
      </w:pPr>
      <w:r w:rsidRPr="002901C0">
        <w:rPr>
          <w:rFonts w:cs="Times New Roman"/>
          <w:sz w:val="20"/>
          <w:szCs w:val="20"/>
        </w:rPr>
        <w:t>wykonano odbarwienie/przebarwienie preparatu;</w:t>
      </w:r>
    </w:p>
    <w:p w14:paraId="5973B077" w14:textId="77777777" w:rsidR="003F012A" w:rsidRPr="002901C0" w:rsidRDefault="003F012A" w:rsidP="003F012A">
      <w:pPr>
        <w:pStyle w:val="Akapitzlist"/>
        <w:numPr>
          <w:ilvl w:val="2"/>
          <w:numId w:val="14"/>
        </w:numPr>
        <w:spacing w:after="120" w:line="276" w:lineRule="auto"/>
        <w:ind w:left="1134"/>
        <w:rPr>
          <w:rFonts w:cs="Times New Roman"/>
          <w:sz w:val="20"/>
          <w:szCs w:val="20"/>
        </w:rPr>
      </w:pPr>
      <w:r w:rsidRPr="002901C0">
        <w:rPr>
          <w:rFonts w:cs="Times New Roman"/>
          <w:sz w:val="20"/>
          <w:szCs w:val="20"/>
        </w:rPr>
        <w:t>usunięto przypadek bez wydania wyniku;</w:t>
      </w:r>
    </w:p>
    <w:p w14:paraId="4645BE04" w14:textId="77777777" w:rsidR="003F012A" w:rsidRPr="002901C0" w:rsidRDefault="003F012A" w:rsidP="003F012A">
      <w:pPr>
        <w:pStyle w:val="Akapitzlist"/>
        <w:numPr>
          <w:ilvl w:val="2"/>
          <w:numId w:val="14"/>
        </w:numPr>
        <w:spacing w:after="120" w:line="276" w:lineRule="auto"/>
        <w:ind w:left="1134"/>
        <w:rPr>
          <w:rFonts w:cs="Times New Roman"/>
          <w:sz w:val="20"/>
          <w:szCs w:val="20"/>
        </w:rPr>
      </w:pPr>
      <w:r w:rsidRPr="002901C0">
        <w:rPr>
          <w:rFonts w:cs="Times New Roman"/>
          <w:sz w:val="20"/>
          <w:szCs w:val="20"/>
        </w:rPr>
        <w:t>usunięto przypadek po wydaniu wyniku;</w:t>
      </w:r>
    </w:p>
    <w:p w14:paraId="7C9771CC" w14:textId="77777777" w:rsidR="003F012A" w:rsidRPr="002901C0" w:rsidRDefault="003F012A" w:rsidP="003F012A">
      <w:pPr>
        <w:pStyle w:val="Akapitzlist"/>
        <w:numPr>
          <w:ilvl w:val="2"/>
          <w:numId w:val="14"/>
        </w:numPr>
        <w:spacing w:after="120" w:line="276" w:lineRule="auto"/>
        <w:ind w:left="1134"/>
        <w:rPr>
          <w:rFonts w:cs="Times New Roman"/>
          <w:sz w:val="20"/>
          <w:szCs w:val="20"/>
        </w:rPr>
      </w:pPr>
      <w:r w:rsidRPr="002901C0">
        <w:rPr>
          <w:rFonts w:cs="Times New Roman"/>
          <w:sz w:val="20"/>
          <w:szCs w:val="20"/>
        </w:rPr>
        <w:lastRenderedPageBreak/>
        <w:t>dokonano cesji przypadku na innego diagnozującego;</w:t>
      </w:r>
    </w:p>
    <w:p w14:paraId="58F590D9" w14:textId="77777777" w:rsidR="003F012A" w:rsidRPr="002901C0" w:rsidRDefault="003F012A" w:rsidP="003F012A">
      <w:pPr>
        <w:pStyle w:val="Akapitzlist"/>
        <w:numPr>
          <w:ilvl w:val="2"/>
          <w:numId w:val="14"/>
        </w:numPr>
        <w:spacing w:after="120" w:line="276" w:lineRule="auto"/>
        <w:ind w:left="1134"/>
        <w:rPr>
          <w:rFonts w:cs="Times New Roman"/>
          <w:sz w:val="20"/>
          <w:szCs w:val="20"/>
        </w:rPr>
      </w:pPr>
      <w:r w:rsidRPr="002901C0">
        <w:rPr>
          <w:rFonts w:cs="Times New Roman"/>
          <w:sz w:val="20"/>
          <w:szCs w:val="20"/>
        </w:rPr>
        <w:t>wynik podpisany cyfrowo przez osobę inną niż odpowiedzialny za przypadek;</w:t>
      </w:r>
    </w:p>
    <w:p w14:paraId="5FC2CAB1" w14:textId="77777777" w:rsidR="003F012A" w:rsidRPr="002901C0" w:rsidRDefault="003F012A" w:rsidP="003F012A">
      <w:pPr>
        <w:pStyle w:val="Akapitzlist"/>
        <w:numPr>
          <w:ilvl w:val="2"/>
          <w:numId w:val="14"/>
        </w:numPr>
        <w:spacing w:after="120" w:line="276" w:lineRule="auto"/>
        <w:ind w:left="1134"/>
        <w:rPr>
          <w:rFonts w:cs="Times New Roman"/>
          <w:sz w:val="20"/>
          <w:szCs w:val="20"/>
        </w:rPr>
      </w:pPr>
      <w:r w:rsidRPr="002901C0">
        <w:rPr>
          <w:rFonts w:cs="Times New Roman"/>
          <w:sz w:val="20"/>
          <w:szCs w:val="20"/>
        </w:rPr>
        <w:t>błąd weryfikacji wersji wydawanego wyniku;</w:t>
      </w:r>
    </w:p>
    <w:p w14:paraId="4EE6DDCA" w14:textId="77777777" w:rsidR="003F012A" w:rsidRPr="002901C0" w:rsidRDefault="003F012A" w:rsidP="003F012A">
      <w:pPr>
        <w:pStyle w:val="Akapitzlist"/>
        <w:numPr>
          <w:ilvl w:val="2"/>
          <w:numId w:val="14"/>
        </w:numPr>
        <w:spacing w:after="120" w:line="276" w:lineRule="auto"/>
        <w:ind w:left="1134"/>
        <w:rPr>
          <w:rFonts w:cs="Times New Roman"/>
          <w:sz w:val="20"/>
          <w:szCs w:val="20"/>
        </w:rPr>
      </w:pPr>
      <w:r w:rsidRPr="002901C0">
        <w:rPr>
          <w:rFonts w:cs="Times New Roman"/>
          <w:sz w:val="20"/>
          <w:szCs w:val="20"/>
        </w:rPr>
        <w:t>próba wydania wyniku w złej wersji;</w:t>
      </w:r>
    </w:p>
    <w:p w14:paraId="09D76108" w14:textId="77777777" w:rsidR="003F012A" w:rsidRPr="002901C0" w:rsidRDefault="003F012A" w:rsidP="003F012A">
      <w:pPr>
        <w:pStyle w:val="Akapitzlist"/>
        <w:numPr>
          <w:ilvl w:val="2"/>
          <w:numId w:val="14"/>
        </w:numPr>
        <w:spacing w:after="120" w:line="276" w:lineRule="auto"/>
        <w:ind w:left="1134"/>
        <w:rPr>
          <w:rFonts w:cs="Times New Roman"/>
          <w:sz w:val="20"/>
          <w:szCs w:val="20"/>
        </w:rPr>
      </w:pPr>
      <w:r w:rsidRPr="002901C0">
        <w:rPr>
          <w:rFonts w:cs="Times New Roman"/>
          <w:sz w:val="20"/>
          <w:szCs w:val="20"/>
        </w:rPr>
        <w:t>próba usunięcia podjętego zlecenia przez zintegrowany system zewnętrzny;</w:t>
      </w:r>
    </w:p>
    <w:p w14:paraId="26B230CC" w14:textId="77777777" w:rsidR="003F012A" w:rsidRPr="002901C0" w:rsidRDefault="003F012A" w:rsidP="003F012A">
      <w:pPr>
        <w:pStyle w:val="Akapitzlist"/>
        <w:numPr>
          <w:ilvl w:val="2"/>
          <w:numId w:val="14"/>
        </w:numPr>
        <w:spacing w:after="120" w:line="276" w:lineRule="auto"/>
        <w:ind w:left="1134"/>
        <w:rPr>
          <w:rFonts w:cs="Times New Roman"/>
          <w:sz w:val="20"/>
          <w:szCs w:val="20"/>
        </w:rPr>
      </w:pPr>
      <w:r w:rsidRPr="002901C0">
        <w:rPr>
          <w:rFonts w:cs="Times New Roman"/>
          <w:sz w:val="20"/>
          <w:szCs w:val="20"/>
        </w:rPr>
        <w:t xml:space="preserve"> preparat wytypowany losowo do technicznej kontroli jakości;</w:t>
      </w:r>
    </w:p>
    <w:p w14:paraId="1D06C120" w14:textId="77777777" w:rsidR="003F012A" w:rsidRPr="002901C0" w:rsidRDefault="003F012A" w:rsidP="003F012A">
      <w:pPr>
        <w:pStyle w:val="Akapitzlist"/>
        <w:numPr>
          <w:ilvl w:val="2"/>
          <w:numId w:val="14"/>
        </w:numPr>
        <w:spacing w:after="120" w:line="276" w:lineRule="auto"/>
        <w:ind w:left="1134"/>
        <w:rPr>
          <w:rFonts w:cs="Times New Roman"/>
          <w:sz w:val="20"/>
          <w:szCs w:val="20"/>
        </w:rPr>
      </w:pPr>
      <w:r w:rsidRPr="002901C0">
        <w:rPr>
          <w:rFonts w:cs="Times New Roman"/>
          <w:sz w:val="20"/>
          <w:szCs w:val="20"/>
        </w:rPr>
        <w:t xml:space="preserve"> podano numer materiału ręcznie zamiast skanowania kodu kreskowego;</w:t>
      </w:r>
    </w:p>
    <w:p w14:paraId="272BB940" w14:textId="77777777" w:rsidR="003F012A" w:rsidRPr="002901C0" w:rsidRDefault="003F012A" w:rsidP="003F012A">
      <w:pPr>
        <w:pStyle w:val="Akapitzlist"/>
        <w:numPr>
          <w:ilvl w:val="2"/>
          <w:numId w:val="14"/>
        </w:numPr>
        <w:spacing w:after="120" w:line="276" w:lineRule="auto"/>
        <w:ind w:left="1134"/>
        <w:rPr>
          <w:rFonts w:cs="Times New Roman"/>
          <w:sz w:val="20"/>
          <w:szCs w:val="20"/>
        </w:rPr>
      </w:pPr>
      <w:r w:rsidRPr="002901C0">
        <w:rPr>
          <w:rFonts w:cs="Times New Roman"/>
          <w:sz w:val="20"/>
          <w:szCs w:val="20"/>
        </w:rPr>
        <w:t xml:space="preserve"> podano numer odwapniacza ręcznie zamiast skanowania kodu kreskowego;</w:t>
      </w:r>
    </w:p>
    <w:p w14:paraId="536E90CF" w14:textId="77777777" w:rsidR="003F012A" w:rsidRPr="002901C0" w:rsidRDefault="003F012A" w:rsidP="003F012A">
      <w:pPr>
        <w:pStyle w:val="Akapitzlist"/>
        <w:numPr>
          <w:ilvl w:val="2"/>
          <w:numId w:val="14"/>
        </w:numPr>
        <w:spacing w:after="120" w:line="276" w:lineRule="auto"/>
        <w:ind w:left="1134"/>
        <w:rPr>
          <w:rFonts w:cs="Times New Roman"/>
          <w:sz w:val="20"/>
          <w:szCs w:val="20"/>
        </w:rPr>
      </w:pPr>
      <w:r w:rsidRPr="002901C0">
        <w:rPr>
          <w:rFonts w:cs="Times New Roman"/>
          <w:sz w:val="20"/>
          <w:szCs w:val="20"/>
        </w:rPr>
        <w:t xml:space="preserve"> podano numer kasetki/bloczka ręcznie zamiast skanowania kodu kreskowego;</w:t>
      </w:r>
    </w:p>
    <w:p w14:paraId="53B636C1" w14:textId="77777777" w:rsidR="003F012A" w:rsidRPr="002901C0" w:rsidRDefault="003F012A" w:rsidP="003F012A">
      <w:pPr>
        <w:pStyle w:val="Akapitzlist"/>
        <w:numPr>
          <w:ilvl w:val="2"/>
          <w:numId w:val="14"/>
        </w:numPr>
        <w:spacing w:after="120" w:line="276" w:lineRule="auto"/>
        <w:ind w:left="1134"/>
        <w:rPr>
          <w:rFonts w:cs="Times New Roman"/>
          <w:sz w:val="20"/>
          <w:szCs w:val="20"/>
        </w:rPr>
      </w:pPr>
      <w:r w:rsidRPr="002901C0">
        <w:rPr>
          <w:rFonts w:cs="Times New Roman"/>
          <w:sz w:val="20"/>
          <w:szCs w:val="20"/>
        </w:rPr>
        <w:t xml:space="preserve"> podano numer preparatu ręcznie zamiast skanowania kodu kreskowego;</w:t>
      </w:r>
    </w:p>
    <w:p w14:paraId="105F76FD" w14:textId="77777777" w:rsidR="003F012A" w:rsidRPr="002901C0" w:rsidRDefault="003F012A" w:rsidP="003F012A">
      <w:pPr>
        <w:pStyle w:val="Akapitzlist"/>
        <w:numPr>
          <w:ilvl w:val="2"/>
          <w:numId w:val="14"/>
        </w:numPr>
        <w:spacing w:after="120" w:line="276" w:lineRule="auto"/>
        <w:ind w:left="1134"/>
        <w:rPr>
          <w:rFonts w:cs="Times New Roman"/>
          <w:sz w:val="20"/>
          <w:szCs w:val="20"/>
        </w:rPr>
      </w:pPr>
      <w:r w:rsidRPr="002901C0">
        <w:rPr>
          <w:rFonts w:cs="Times New Roman"/>
          <w:sz w:val="20"/>
          <w:szCs w:val="20"/>
        </w:rPr>
        <w:t xml:space="preserve"> podano numer skierowania ręcznie zamiast skanowania kodu kreskowego;</w:t>
      </w:r>
    </w:p>
    <w:p w14:paraId="39647877" w14:textId="77777777" w:rsidR="003F012A" w:rsidRPr="002901C0" w:rsidRDefault="003F012A" w:rsidP="003F012A">
      <w:pPr>
        <w:pStyle w:val="Akapitzlist"/>
        <w:numPr>
          <w:ilvl w:val="2"/>
          <w:numId w:val="14"/>
        </w:numPr>
        <w:spacing w:after="120" w:line="276" w:lineRule="auto"/>
        <w:ind w:left="1134"/>
        <w:rPr>
          <w:rFonts w:cs="Times New Roman"/>
          <w:sz w:val="20"/>
          <w:szCs w:val="20"/>
        </w:rPr>
      </w:pPr>
      <w:r w:rsidRPr="002901C0">
        <w:rPr>
          <w:rFonts w:cs="Times New Roman"/>
          <w:sz w:val="20"/>
          <w:szCs w:val="20"/>
        </w:rPr>
        <w:t xml:space="preserve"> naruszenie interwału czasowego funkcji stanowiskowej zatapiania;</w:t>
      </w:r>
    </w:p>
    <w:p w14:paraId="5E6E3BAE" w14:textId="77777777" w:rsidR="003F012A" w:rsidRPr="002901C0" w:rsidRDefault="003F012A" w:rsidP="003F012A">
      <w:pPr>
        <w:pStyle w:val="Akapitzlist"/>
        <w:numPr>
          <w:ilvl w:val="2"/>
          <w:numId w:val="14"/>
        </w:numPr>
        <w:spacing w:after="120" w:line="276" w:lineRule="auto"/>
        <w:ind w:left="1134"/>
        <w:rPr>
          <w:rFonts w:cs="Times New Roman"/>
          <w:sz w:val="20"/>
          <w:szCs w:val="20"/>
        </w:rPr>
      </w:pPr>
      <w:r w:rsidRPr="002901C0">
        <w:rPr>
          <w:rFonts w:cs="Times New Roman"/>
          <w:sz w:val="20"/>
          <w:szCs w:val="20"/>
        </w:rPr>
        <w:t xml:space="preserve"> naruszenie interwału czasowego funkcji stanowiskowej krojenia;</w:t>
      </w:r>
    </w:p>
    <w:p w14:paraId="45F462DE" w14:textId="77777777" w:rsidR="003F012A" w:rsidRPr="002901C0" w:rsidRDefault="003F012A" w:rsidP="003F012A">
      <w:pPr>
        <w:pStyle w:val="Akapitzlist"/>
        <w:numPr>
          <w:ilvl w:val="2"/>
          <w:numId w:val="14"/>
        </w:numPr>
        <w:spacing w:after="120" w:line="276" w:lineRule="auto"/>
        <w:ind w:left="1134"/>
        <w:rPr>
          <w:rFonts w:cs="Times New Roman"/>
          <w:sz w:val="20"/>
          <w:szCs w:val="20"/>
        </w:rPr>
      </w:pPr>
      <w:r w:rsidRPr="002901C0">
        <w:rPr>
          <w:rFonts w:cs="Times New Roman"/>
          <w:sz w:val="20"/>
          <w:szCs w:val="20"/>
        </w:rPr>
        <w:t xml:space="preserve"> wynik ostateczny wydany po terminie oczekiwanej daty wyniku;</w:t>
      </w:r>
    </w:p>
    <w:p w14:paraId="4B81C4A0" w14:textId="77777777" w:rsidR="003F012A" w:rsidRPr="002901C0" w:rsidRDefault="003F012A" w:rsidP="003F012A">
      <w:pPr>
        <w:pStyle w:val="Akapitzlist"/>
        <w:numPr>
          <w:ilvl w:val="2"/>
          <w:numId w:val="14"/>
        </w:numPr>
        <w:spacing w:after="120" w:line="276" w:lineRule="auto"/>
        <w:ind w:left="1134"/>
        <w:rPr>
          <w:rFonts w:cs="Times New Roman"/>
          <w:sz w:val="20"/>
          <w:szCs w:val="20"/>
        </w:rPr>
      </w:pPr>
      <w:r w:rsidRPr="002901C0">
        <w:rPr>
          <w:rFonts w:cs="Times New Roman"/>
          <w:sz w:val="20"/>
          <w:szCs w:val="20"/>
        </w:rPr>
        <w:t xml:space="preserve"> cofnięcie zatwierdzenia wyniku ostatecznego.</w:t>
      </w:r>
    </w:p>
    <w:p w14:paraId="4C611021"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 xml:space="preserve">Pole tekstowe do wpisania własnych uwag dotyczących zdarzenia kontroli jakości, np. sposobu rozwiązania niezgodności. </w:t>
      </w:r>
    </w:p>
    <w:p w14:paraId="42B4B24E"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Skierowanie uwag do osoby odpowiedzialnej w formie komunikatu systemowego i listy roboczej zgłoszeń przypisanych użytkownikowi. Osoba odpowiedzialna musi mieć możliwość udzielenia odpowiedzi na zauważone niezgodności i zamknięcia zgłoszenia.</w:t>
      </w:r>
    </w:p>
    <w:p w14:paraId="29293EE4"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Wydruk i możliwość eksportu do pliku Excel XML (lub CSV) oraz PDF rejestru zdarzeń kontroli jakości za dany okres dla danej jednostki organizacyjnej z możliwością filtracji według osoby odpowiedzialnej za zdarzenie, grupy typów zdarzeń, konkretnego typu zdarzenia, statusu zdarzenia, zlecającego i jego oddziału, daty rejestracji zdarzenia od-do.</w:t>
      </w:r>
    </w:p>
    <w:p w14:paraId="2E5E8187"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 xml:space="preserve">Kontrola losowa preparatów i kierowanie ich do weryfikacji przez zdefiniowaną osobę. </w:t>
      </w:r>
    </w:p>
    <w:p w14:paraId="7A9BE391"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Podpowiadanie najczęściej zgłaszanych typów zdarzeń niepożądanych do szybkiej rejestracji przez użytkownika (algorytm samouczący się).</w:t>
      </w:r>
    </w:p>
    <w:p w14:paraId="49763579"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W przypadku kontroli losowej preparatów możliwość pominięcia preparatów ze zleceń z priorytetowym trybem przyjęcia, aby nie opóźniać procesu diagnostycznego.</w:t>
      </w:r>
    </w:p>
    <w:p w14:paraId="56EE5047"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System umożliwia weryfikację, czy pracownik skanuje kod kreskowy z obiektu czy wpisuje go ręcznie. Możliwość automatycznego generowania zdarzeń kontroli jakości w takiej sytuacji.</w:t>
      </w:r>
    </w:p>
    <w:p w14:paraId="0F8A8E29"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System może weryfikować czy operacje pracownika na ekranach stanowiskowych następują w rytmie czasowym (interwałach) określonym wewnętrznymi przepisami kontroli jakości.  Możliwość automatycznego generowania zdarzeń kontroli jakości w sytuacji naruszenia minimalnego interwału czasowego.</w:t>
      </w:r>
    </w:p>
    <w:p w14:paraId="517C709E"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System umożliwia zastąpienie daty terminowości automatycznie wyliczonej na podstawie przyjętych reguł poprzez ręczną zmianę oczekiwanej daty wyniku dla zlecającego i diagnozującego w konkretnym pakiecie badań</w:t>
      </w:r>
    </w:p>
    <w:p w14:paraId="2DF9404E"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 xml:space="preserve">Raport terminowości (liczony względem oczekiwanej daty wyniku dla zlecającego) dla wybranej grupy badań wyfiltrowanej wg możliwych parametrów jednostki organizacyjnej,  odpowiedzianego (lekarza za przypadek), zlecającego i jego oddziału, znaczników zlecającego oraz pakietu badań, daty rejestracji oraz zatwierdzenia, oczekiwanej daty wyniku, statusu zatwierdzenia, trybu przyjęcia, projektu, ścieżki klinicznej, topografii, wykrycia nowotworu złośliwego, typu badania, materiału, podtypu materiału, lekarza kierującego, statusu terminowości. Raport powinien zawierać kolumny: numer pakietu badań, imię i nazwisko pacjenta (opcjonalnie jego ID), odpowiedzialny za przypadek, zlecający, data rejestracji, data przekazania odpowiedzialnemu, oczekiwana data wyniku, data wyniku (zatwierdzenia przypadku), czas diagnostyki w dniach, status nowotworu złośliwego (tak/nie), czy przypadek został zakończony w terminie. Raport powinien zawierać w podsumowaniu sumę </w:t>
      </w:r>
      <w:r w:rsidRPr="002901C0">
        <w:rPr>
          <w:rFonts w:cs="Times New Roman"/>
          <w:sz w:val="20"/>
          <w:szCs w:val="20"/>
        </w:rPr>
        <w:lastRenderedPageBreak/>
        <w:t>wyszukanych przypadków, ilość przypadków w terminie, ilość przypadków poniżej 24 godzin do przeterminowania, ilość przeterminowanych przypadków oraz z nie określonym czasem. Dodatkowo podsumowanie prezentuje statystykę czasu obróbki technicznej, czasu diagnostyki oraz czas całościowy z podziałem na ilość dni: średnia, minimalna, maksymalna, mediana.</w:t>
      </w:r>
    </w:p>
    <w:p w14:paraId="4E24C12F" w14:textId="22A09A5B"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terminowości (liczony względem oczekiwanej daty wyniku dla diagnozującego) dla wybranej grupy badań wyfiltrowanej wg możliwych parametrów jednostki organizacyjnej,  odpowiedzianego (lekarza za przypadek), zlecającego i jego oddziału, znaczników zlecającego oraz pakietu badań, daty rejestracji oraz zatwierdzenia, oczekiwanej daty wyniku, statusu zatwierdzenia, trybu przyjęcia, projektu, ścieżki klinicznej, topografii, wykrycia nowotworu złośliwego, typu badania, materiału, podtypu materiału, lekarza kierującego, statusu terminowości. Raport powinien zawierać kolumny: numer pakietu badań, imię i nazwisko pacjenta (opcjonalnie jego ID), odpowiedzialny za przypadek, zlecający, data rejestracji, data przekazania odpowiedzialnemu, oczekiwana data wyniku, data wyniku (zatwierdzenia przypadku), czas diagnostyki w dniach, status nowotworu złośliwego (tak/nie), czy przypadek został zakończony w terminie. Raport powinien zawierać w podsumowaniu sumę wyszukanych przypadków, ilość przypadków w terminie, ilość przypadków poniżej 24 godzin do przeterminowania, ilość przeterminowanych przypadków oraz z nieokreślonym czasem. Dodatkowo podsumowanie prezentuje statystykę czasu obróbki technicznej, czasu diagnostyki oraz czas całościowy z podziałem na ilość dni: średnia, minimalna, maksymalna, mediana.</w:t>
      </w:r>
    </w:p>
    <w:p w14:paraId="73140189" w14:textId="064E4B3C"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terminowości (analiza czasu trwania badania) dla wybranej grupy badań wyfiltrowanej wg możliwych parametrów odpowiedzianego (lekarza za przypadek), zlecającego i jego oddziału, znaczników zlecającego oraz pakietu badań, daty rejestracji oraz zatwierdzenia, oczekiwanej daty wyniku, statusu zatwierdzenia, trybu przyjęcia, projektu, ścieżki klinicznej, topografii, wykrycia nowotworu złośliwego, typu badania, materiału, podtypu materiału, lekarza kierującego, statusu terminowości. Raport powinien zawierać kolumny: numer pakietu badań, imię i nazwisko pacjenta (opcjonalnie jego ID), odpowiedzialny za przypadek, zlecający, data rejestracji, data przekazania odpowiedzialnemu, oczekiwana data wyniku, data wyniku (zatwierdzenia przypadku), czas diagnostyki w dniach, status nowotworu złośliwego (tak/nie), czy przypadek został zakończony w terminie. Raport powinien zawierać w podsumowaniu sumę wyszukanych przypadków, ilość przypadków w terminie, ilość przypadków poniżej 24 godzin do przeterminowania, ilość przeterminowanych przypadków oraz z nieokreślonym czasem. Dodatkowo podsumowanie prezentuje statystykę czasu obróbki technicznej, czasu diagnostyki oraz czas całościowy z podziałem na ilość dni: średnia, minimalna, maksymalna, mediana.</w:t>
      </w:r>
    </w:p>
    <w:p w14:paraId="618BE053"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terminowości badań śródoperacyjnych (liczony od daty otrzymania materiału do daty przekazania rozpoznania) filtrowany według kryteriów jednostki organizacyjnej, daty otrzymania materiału oraz odpowiedzialnego za przypadek. Raporty powinien zawierać kolumny: numer pakietu badań, jednostka organizacyjna, odpowiedzialny, data otrzymania materiału, data przekazania rozpoznania, czas trwania badania. Raport powinien zawierać w podsumowaniu średni czas diagnostyki oraz medianę, czas trwania, liczbę rozpoznań oraz narastający procent rozpoznań. Raporty powinny prezentować wykresy ilościowe wg wybranego interwału.</w:t>
      </w:r>
    </w:p>
    <w:p w14:paraId="4E29BE39" w14:textId="04A8FCCA"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czasu wykonania badań (analiza czasu od daty rejestracji do wykrawania) dla wybranej grupy badań wyfiltrowanej wg możliwych parametrów (jednostka organizacyjna, zlecający i jego oddział, znacznik zlecającego, data rejestracji, tryb przyjęcia, projekt, ścieżka kliniczna, typ i podtyp materiału, lekarz kierujący). Raport powinien zawierać kolumny: numer pakietu badań, imię i nazwisko pacjenta (opcjonalnie jego ID), zlecający, data rejestracji, data wykrawania, czas trwania (dni od daty rejestracji do wykrawania).</w:t>
      </w:r>
    </w:p>
    <w:p w14:paraId="32736407" w14:textId="61F68981"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 xml:space="preserve">Raport czasu wykonania badań (analiza czasu od daty utrwalenia do wykrawania) dla wybranej grupy badań wyfiltrowanej wg możliwych parametrów (jednostka organizacyjna, zlecający i jego oddział, znacznik zlecającego, data rejestracji, tryb przyjęcia, projekt, ścieżka kliniczna, typ i podtyp </w:t>
      </w:r>
      <w:r w:rsidRPr="002901C0">
        <w:rPr>
          <w:rFonts w:cs="Times New Roman"/>
          <w:sz w:val="20"/>
          <w:szCs w:val="20"/>
        </w:rPr>
        <w:lastRenderedPageBreak/>
        <w:t>materiału, lekarz kierujący, status terminowości). Raport powinien zawierać kolumny: numer pakietu badań, imię i nazwisko pacjenta (opcjonalnie jego ID), zlecający, materiał, data pobrania/zabiegu, data utrwalenia, data otrzymania i rejestracji, dopuszczalna data wykrawania, data wykrawania, status terminowości, czas utrwalania (dni od daty utrwalenia do wykrawania).</w:t>
      </w:r>
    </w:p>
    <w:p w14:paraId="0FD139C9"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Raporty wydajności personelu: rejestracja przypadków i materiałów, pobieranie materiału do kasetek (wg lekarza pobierającego i technika pobierającego), zatapianie kasetek, krojenie preparatów, barwienie preparatów (także wg typu preparatu), kompletacja preparatów, liczba przypadków/osoba odpowiedzialna, liczba skompletowanych preparatów/osoba odpowiedzialna, zeskanowane preparaty. Raporty muszą umożliwiać analizę w ujęciu godzinowym, dziennym i miesięcznym. Raporty muszą być wykonywane wg kryteriów: data wykonania czynności/ rejestracji czynności, zlecający, oddział, osoba wykonująca, jednostka organizacyjna, interwał. Raporty powinny zawierać kolumny: osoba wykonująca, rodzaj materiału/badania (w zależności od raportu), liczba przypadków/ materiałów/ badań/ preparatów (w zależności od raportu). Raporty powinny prezentować wykresy ilościowe wg wybranego interwału.</w:t>
      </w:r>
    </w:p>
    <w:p w14:paraId="68A2944E"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Automatyczne, dynamiczne wyznaczanie daty oczekiwanego wyniku na podstawie reguł terminowości dotyczących zleceniodawców oraz personelu diagnostycznego. Kryteria powinny zawierać jednostkę wykonującą, zleceniodawcę, typ materiału, badania, preparatu, etapu procesu, tryb przyjęcia, projekt, ścieżkę kliniczną, profil cennika, liczbę badań, liczbę preparatów, zlecenia barwień dodatkowych, odwapniaczy, dodatkowych konsultacji itp.</w:t>
      </w:r>
    </w:p>
    <w:p w14:paraId="40206EB2"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t>Wyznaczanie terminowości dla personelu diagnostycznego dodatkowo pozwala na odrębne ustalenie oczekiwanego terminu wyniku wstępnego oraz ostatecznego obliczanego od daty rejestracji pakietu badań lub daty zakończenia procesu technicznego, lub daty przekazania przypadku odpowiedzialnemu.</w:t>
      </w:r>
    </w:p>
    <w:p w14:paraId="37436DE5"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t>Data oczekiwanego wyniku powinna się wyznaczać i modyfikować na bieżąco od rozpoczęcia pierwszych prac nad przypadkiem. Reguły powinny określać bazowy czas lub wydłużenie czasu względem czasu bazowego. Czas powinien móc być określany w minutach i dniach (zarówno kalendarzowych, jak i roboczych).</w:t>
      </w:r>
    </w:p>
    <w:p w14:paraId="30DBABC1"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Lista robocza kontroli jakości – przedstawiająca zdarzenia, za które odpowiada dany użytkownik. Lista filtrowana wg osoby odpowiedzialnej, grupy typu zdarzenia, typu zdarzenia, statusu zdarzenia (np. otwarte, rozwiązane, niemożliwe do rozwiązania), zlecającego, oddziału, daty rejestracji zdarzenia.</w:t>
      </w:r>
    </w:p>
    <w:p w14:paraId="7658E27A"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Kalendarz kierownika – pozwalający na manualne określenie dni wolnych na potrzeby obliczania terminowości (jeżeli w danej regule liczona w dniach roboczych) oraz osób odpowiedzialnych za prowadzenie losowej kontroli preparatów w danym dniu. Możliwość automatycznego definiowania dni wolnych na dany rok, zgodnie z obowiązującą w Polsce listą dni wolnych od pracy.</w:t>
      </w:r>
    </w:p>
    <w:p w14:paraId="41A0CE23" w14:textId="551E8275" w:rsidR="003F012A" w:rsidRPr="00132128" w:rsidRDefault="003F012A" w:rsidP="003F012A">
      <w:pPr>
        <w:pStyle w:val="Nagwek1"/>
        <w:numPr>
          <w:ilvl w:val="0"/>
          <w:numId w:val="14"/>
        </w:numPr>
        <w:tabs>
          <w:tab w:val="num" w:pos="360"/>
        </w:tabs>
        <w:rPr>
          <w:rFonts w:asciiTheme="minorHAnsi" w:hAnsiTheme="minorHAnsi" w:cs="Times New Roman"/>
          <w:sz w:val="20"/>
          <w:szCs w:val="20"/>
        </w:rPr>
      </w:pPr>
      <w:bookmarkStart w:id="16" w:name="_Toc203118153"/>
      <w:r w:rsidRPr="002901C0">
        <w:rPr>
          <w:rFonts w:asciiTheme="minorHAnsi" w:hAnsiTheme="minorHAnsi" w:cs="Times New Roman"/>
          <w:sz w:val="20"/>
          <w:szCs w:val="20"/>
        </w:rPr>
        <w:t>Obsługa stanowisk z dedykowanymi ekranami stanowiskowymi do współpracy z czytnikami kodów</w:t>
      </w:r>
      <w:bookmarkEnd w:id="16"/>
    </w:p>
    <w:p w14:paraId="5110DD8B"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Ekrany stanowiskowe wykorzystują sygnalizację dźwiękową, umożliwiającą pracę „bezwzrokowo” z czytnikiem kodów.</w:t>
      </w:r>
    </w:p>
    <w:p w14:paraId="0F100C9E"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Stanowisko rejestracji materiału diagnostycznego - kompletacja i wysyłka kontenerów z przesyłkami materiału diagnostycznego po stronie zlecającego</w:t>
      </w:r>
    </w:p>
    <w:p w14:paraId="75C0CB2F"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 xml:space="preserve"> Zarejestrowanie zleceń w systemie, generowanie skierowań i przyporządkowanie kodów do pojemnika/ów z materiałem lub szkiełek z rozmazem przypisanych do określonego miejsca pobrania. Obsługa różnego rodzaju zleceń, np. cytologia, histopatologia, konsultacja  itp. Typy rejestrowanych materiałów oraz formularz zlecenia z polami definiowanymi przez uprawnionego użytkownika zależą od wybranego rodzaju zlecenia i jednostki wykonującej.</w:t>
      </w:r>
    </w:p>
    <w:p w14:paraId="003FB65A"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lastRenderedPageBreak/>
        <w:t xml:space="preserve">Dodanie do kontenera z przesyłką zarejestrowanych materiałów diagnostycznych poprzez zeskanowanie kodu ze skierowania, do którego zostały przypisane, lub ręczne wprowadzenie numeru skierowania. </w:t>
      </w:r>
    </w:p>
    <w:p w14:paraId="274339F1"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Zatwierdzenie („zamknięcie”) przesyłki wraz z wpisaniem numeru listu przewozowego firmy kurierskiej lub oznaczenie transportu we własnym zakresie.</w:t>
      </w:r>
    </w:p>
    <w:p w14:paraId="5912A293"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Możliwość wydruku listy skierowań i materiałów składających się na daną przesyłkę.</w:t>
      </w:r>
    </w:p>
    <w:p w14:paraId="3AF3C954"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Możliwość podejrzenia ewentualnych uwag dotyczących kompletności i zawartości przesyłki, które wprowadził zakład patomorfologii.</w:t>
      </w:r>
    </w:p>
    <w:p w14:paraId="357F72E2"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Stanowisko przyjęć materiału</w:t>
      </w:r>
    </w:p>
    <w:p w14:paraId="756719FF"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Dla zleceń zleconych w systemie na stanowisku rejestracji materiałów lub poprzez integracje HL7 z obsługą próbek powiązanych ze zleceniem: weryfikacja kompletności skanerem kodów.</w:t>
      </w:r>
      <w:r w:rsidRPr="002901C0">
        <w:rPr>
          <w:rFonts w:cs="Times New Roman"/>
          <w:sz w:val="20"/>
          <w:szCs w:val="20"/>
        </w:rPr>
        <w:tab/>
      </w:r>
    </w:p>
    <w:p w14:paraId="0F5D39EF"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Dla zleceń niezleconych w systemie (rejestrowanych ręcznie lub poprzez integracje HL7 bez obsługi próbek powiązanych ze zleceniem): rejestracja pacjenta oraz nadanie i wydruk etykiet z kodami kreskowymi na skierowanie i pojemniki z materiałem.</w:t>
      </w:r>
    </w:p>
    <w:p w14:paraId="068447B1"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Możliwość wprowadzenia uwag dotyczących kompletności i zawartości przesyłki, które będzie widział zleceniodawca w kontekście przesyłki na stanowisku rejestracji materiału.</w:t>
      </w:r>
    </w:p>
    <w:p w14:paraId="1BBEF7D1"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Skanowanie dostarczonego skierowania, jeśli jest w wersji papierowej w celu załączenia jako obrazu do badania pacjenta. Funkcjonalność skanowania musi być wywoływana wprost z oferowanego systemu, a skan musi być podpinany kontekstowo pod odpowiedni obiekt (skierowanie/przypadek), niezależnie od liczby stron.</w:t>
      </w:r>
    </w:p>
    <w:p w14:paraId="0835CE58"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Możliwość korekty danych pacjenta otrzymanych w ramach zlecenia elektronicznego ze zintegrowanego systemu tylko przez uprawnionego użytkownika.</w:t>
      </w:r>
    </w:p>
    <w:p w14:paraId="1339A90A"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Możliwość anulowania (odrzucenia) zlecenia wraz z koniecznością podania powodu.</w:t>
      </w:r>
    </w:p>
    <w:p w14:paraId="26169869"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Stanowisko wykrawania (pobierania) materiału</w:t>
      </w:r>
    </w:p>
    <w:p w14:paraId="4BE1BB53"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Skanowanie pojemnika z materiałem w celu wywołania w systemie badania pacjenta. W otwierającym się oknie widoczne są dane pacjenta oraz skierowanie i/ lub jego obraz.</w:t>
      </w:r>
      <w:r w:rsidRPr="002901C0">
        <w:rPr>
          <w:rFonts w:cs="Times New Roman"/>
          <w:sz w:val="20"/>
          <w:szCs w:val="20"/>
        </w:rPr>
        <w:tab/>
      </w:r>
    </w:p>
    <w:p w14:paraId="2DDC4E6C"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Nadawanie numeru badania histologicznego (bloczka), kolejnego w czasie trwania procesu pobierania z zabezpieczeniem przed wykorzystaniem tego samego numeru ponownie.</w:t>
      </w:r>
    </w:p>
    <w:p w14:paraId="77B954F4"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Przypisanie materiału do lekarza pobierającego wybieranego z listy lekarzy (domyślny ostatni wybór). Zapisanie w systemie informacji o osobie pobierającej oraz asystującym mu techniku.</w:t>
      </w:r>
    </w:p>
    <w:p w14:paraId="1BFD1F09" w14:textId="61AAEED4"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 xml:space="preserve">Wprowadzanie opisu makroskopowego dla każdego dostarczonego materiału – dowolnej treści lub z dostępnych szablonów tekstowych, lub sformalizowanych. Szablony sformalizowane mogą być tworzone w dowolnej liczbie przez uprawnionego użytkownika.  Szablony sformalizowane powinny móc zawierać typy pól: wyboru (checkbox), słownikowe, numeryczne (z określoną precyzją po przecinku), tekstowe, daty/czasu, ukrywane/pokazywane w zależności od pozostałych pól i ich kombinacji, obliczane automatycznie na podstawie innych pól i ich kombinacji, a także automatycznie generować tekstowy opis makroskopowy zgodnie z wybranymi/wypełnionymi polami formularza. Funkcjonalność formularzy musi być wbudowana w oferowane rozwiązanie, bez konieczności dokupowania/wykorzystania dodatkowych modułów lub aplikacji (w tym zintegrowanych). </w:t>
      </w:r>
    </w:p>
    <w:p w14:paraId="589C62A0" w14:textId="77777777" w:rsidR="003F012A" w:rsidRPr="002901C0" w:rsidRDefault="003F012A" w:rsidP="003F012A">
      <w:pPr>
        <w:pStyle w:val="Akapitzlist"/>
        <w:numPr>
          <w:ilvl w:val="3"/>
          <w:numId w:val="14"/>
        </w:numPr>
        <w:spacing w:after="120" w:line="276" w:lineRule="auto"/>
        <w:ind w:left="1843"/>
        <w:jc w:val="both"/>
        <w:rPr>
          <w:rFonts w:cs="Times New Roman"/>
          <w:sz w:val="20"/>
          <w:szCs w:val="20"/>
        </w:rPr>
      </w:pPr>
      <w:r w:rsidRPr="002901C0">
        <w:rPr>
          <w:rFonts w:cs="Times New Roman"/>
          <w:sz w:val="20"/>
          <w:szCs w:val="20"/>
        </w:rPr>
        <w:t>Możliwość dołączenia zdjęcia obrazu makroskopowego pobranego w kontekście wykrawanego materiału z systemu dokumentacji makroskopowej.</w:t>
      </w:r>
    </w:p>
    <w:p w14:paraId="02808379"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 xml:space="preserve">Wprowadzanie uwag tekstowych istotnych dla osób zajmujących się materiałem na dalszych etapach procesu (zatapianie i krojenie). </w:t>
      </w:r>
    </w:p>
    <w:p w14:paraId="1740694A" w14:textId="77777777" w:rsidR="003F012A" w:rsidRPr="002901C0" w:rsidRDefault="003F012A" w:rsidP="003F012A">
      <w:pPr>
        <w:pStyle w:val="Akapitzlist"/>
        <w:numPr>
          <w:ilvl w:val="3"/>
          <w:numId w:val="14"/>
        </w:numPr>
        <w:spacing w:after="120" w:line="276" w:lineRule="auto"/>
        <w:ind w:left="1843"/>
        <w:jc w:val="both"/>
        <w:rPr>
          <w:rFonts w:cs="Times New Roman"/>
          <w:sz w:val="20"/>
          <w:szCs w:val="20"/>
        </w:rPr>
      </w:pPr>
      <w:r w:rsidRPr="002901C0">
        <w:rPr>
          <w:rFonts w:cs="Times New Roman"/>
          <w:sz w:val="20"/>
          <w:szCs w:val="20"/>
        </w:rPr>
        <w:t>Sygnalizacja dźwiękowa w ekranach stanowiskowych, jeżeli uwaga jest wpisana.</w:t>
      </w:r>
    </w:p>
    <w:p w14:paraId="1D13F56F"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 xml:space="preserve">Możliwość zdefiniowania stałych zleceń (np. kompletu rutynowych barwień) dla określonych rodzajów badań. Zlecenia stałe przypisywane do bloczka z dostępnej, edytowalnej listy. </w:t>
      </w:r>
      <w:r w:rsidRPr="002901C0">
        <w:rPr>
          <w:rFonts w:cs="Times New Roman"/>
          <w:sz w:val="20"/>
          <w:szCs w:val="20"/>
        </w:rPr>
        <w:lastRenderedPageBreak/>
        <w:t>Wydruk zdefiniowanych szkiełek w odpowiedniej ilości następuje po zeskanowaniu bloczka na stanowisku krojenia.</w:t>
      </w:r>
    </w:p>
    <w:p w14:paraId="21BB5AA0"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Funkcja śledzenia odwapniaczy gotowych do zakończenia (pobrania do kasetki).</w:t>
      </w:r>
    </w:p>
    <w:p w14:paraId="2B90618D"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Znakowanie materiału jako pobranego w całości. Materiał pobrany w całości nie może być pobierany w ramach II rzutu ani nie podlega utylizacji.</w:t>
      </w:r>
    </w:p>
    <w:p w14:paraId="5CFB2541"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Możliwość wyboru koszyka procesora tkankowego, do którego ma trafić dana kasetka.</w:t>
      </w:r>
    </w:p>
    <w:p w14:paraId="29D10FF2"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Możliwość określenia topografii lokalizacji anatomicznej, z której pobrano daną kasetkę.</w:t>
      </w:r>
    </w:p>
    <w:p w14:paraId="545D8EE1"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Możliwość określenia proponowanej osoby oceniającej na etapie rejestracji kasetek.</w:t>
      </w:r>
    </w:p>
    <w:p w14:paraId="243F3105"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Zabezpieczenie przed omyłkowym opuszczeniem przypadku, który nie ma zakończonego etapu technicznego.</w:t>
      </w:r>
    </w:p>
    <w:p w14:paraId="27485A25"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Możliwość automatycznego dodawania preparatów do badania według skonfigurowanego inicjalnego profilu.</w:t>
      </w:r>
    </w:p>
    <w:p w14:paraId="1DB7024E"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Dedykowany ekran pokazujący listę materiałów do opracowania – materiałów, które zostały przyjęte do pracowni, ale z których nie powstały żadne badania.</w:t>
      </w:r>
    </w:p>
    <w:p w14:paraId="10E01B0B"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Sortowanie listy roboczej wg trybu przyjęcia, projektu i daty otrzymania. Oznaczanie trybów przyjęcia i projektów konfigurowalnymi kolorami oraz przyznawanie trybom przyjęcia i projektom priorytetu sortowania.</w:t>
      </w:r>
    </w:p>
    <w:p w14:paraId="007A2B06"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Możliwość eksportu aktualnej listy materiałów do opracowania w formie XML.</w:t>
      </w:r>
    </w:p>
    <w:p w14:paraId="69D1373B"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Stanowisko zatapiania</w:t>
      </w:r>
    </w:p>
    <w:p w14:paraId="1A40B92A"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Generowanie listy kasetek pozostałych do zatopienia po przeprocesowaniu z wyszczególnieniem trybów pilności, projektów i ścieżek klinicznych.</w:t>
      </w:r>
    </w:p>
    <w:p w14:paraId="400C4052"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Oznaczanie bloczków jako zatopionych poprzez zeskanowanie kodu z kasetki lub ręczne wprowadzenie numeru kasetki.</w:t>
      </w:r>
    </w:p>
    <w:p w14:paraId="310C6F3E"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Automatyczne odświeżanie listy kasetek do zatopienia.</w:t>
      </w:r>
    </w:p>
    <w:p w14:paraId="4514751D"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Rejestracja miejsca (stanowisko), czasu (data i godzina) i pracownika zatapiającego.</w:t>
      </w:r>
    </w:p>
    <w:p w14:paraId="3CDDC056"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Możliwość wprowadzania uwag tekstowych (w tym możliwość korzystania z szablonów (np. informacja: materiał twardy, wykorzystaj szkiełko adhezyjne) istotnych dla osób zajmujących się materiałem na dalszych etapach procesu (krojenie i barwienie).</w:t>
      </w:r>
    </w:p>
    <w:p w14:paraId="2228852D" w14:textId="77777777" w:rsidR="003F012A" w:rsidRPr="002901C0" w:rsidRDefault="003F012A" w:rsidP="003F012A">
      <w:pPr>
        <w:pStyle w:val="Akapitzlist"/>
        <w:numPr>
          <w:ilvl w:val="3"/>
          <w:numId w:val="14"/>
        </w:numPr>
        <w:spacing w:after="120" w:line="276" w:lineRule="auto"/>
        <w:ind w:left="1843"/>
        <w:jc w:val="both"/>
        <w:rPr>
          <w:rFonts w:cs="Times New Roman"/>
          <w:sz w:val="20"/>
          <w:szCs w:val="20"/>
        </w:rPr>
      </w:pPr>
      <w:r w:rsidRPr="002901C0">
        <w:rPr>
          <w:rFonts w:cs="Times New Roman"/>
          <w:sz w:val="20"/>
          <w:szCs w:val="20"/>
        </w:rPr>
        <w:t>Sygnalizacja dźwiękowa, jeżeli uwaga dot. zatapiania jest wpisana.</w:t>
      </w:r>
    </w:p>
    <w:p w14:paraId="0789D256"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Sortowanie listy roboczej wg trybu przyjęcia, projektu, ścieżki klinicznej i daty utworzenia kasetki histopatologicznej. Oznaczanie trybów przyjęcia i projektów konfigurowalnymi kolorami oraz przyznawanie trybom przyjęcia, projektom i ścieżkom klinicznym priorytetu sortowania.</w:t>
      </w:r>
    </w:p>
    <w:p w14:paraId="4D56EF8E"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Stanowisko krojenia (stanowisko mikrotomu) ze znakowaniem szkiełek mikroskopowych</w:t>
      </w:r>
    </w:p>
    <w:p w14:paraId="1B30EAE9"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Generowanie listy bloczków pozostałych do skrojenia po zatopieniu. Lista powinna posiadać możliwość zawężenia do bloczków krojonych w ramach profilu barwienia, zleceń barwień dodatkowych, zatopionych przez wybraną osobę lub pochodzących z danej jednostki org.</w:t>
      </w:r>
    </w:p>
    <w:p w14:paraId="3EB0BBB2"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Praca w kontekście bloczka poprzez zeskanowanie kodu z bloczka lub ręczne wprowadzenie numeru bloczka (wybór bloczka). W przypadku badań konsultacyjnych możliwe wejście w kontekst obcego bloczka poprzez wybór z listy lub skan kodu kreskowego ze skierowania.</w:t>
      </w:r>
    </w:p>
    <w:p w14:paraId="1D1D6758"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Wydruk szkiełek na preparaty, które mają powstać z bloczka, z uwzględnieniem zleceń stałych przypisanych do bloczka na etapie pobierania. Automatyczny dynamiczny wybór drukarki odpowiedniej dla danego typu preparatu.</w:t>
      </w:r>
    </w:p>
    <w:p w14:paraId="0C125FFB"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Rejestracja miejsca (stanowisko), czasu (data i godzina) i pracownika opracowującego preparat na stanowisku mikrotomowym.</w:t>
      </w:r>
    </w:p>
    <w:p w14:paraId="37F8DED3"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 xml:space="preserve">Możliwość wprowadzania uwag tekstowych, w tym możliwość korzystania z szablonów (np. informacja: materiał twardy, jakość preparatu może być obniżona) istotnych dla osób </w:t>
      </w:r>
      <w:r w:rsidRPr="002901C0">
        <w:rPr>
          <w:rFonts w:cs="Times New Roman"/>
          <w:sz w:val="20"/>
          <w:szCs w:val="20"/>
        </w:rPr>
        <w:lastRenderedPageBreak/>
        <w:t>zajmujących się materiałem na dalszych etapach procesu (barwienie i kompletacja z oceną jakości).</w:t>
      </w:r>
    </w:p>
    <w:p w14:paraId="618918CC" w14:textId="77777777" w:rsidR="003F012A" w:rsidRPr="002901C0" w:rsidRDefault="003F012A" w:rsidP="00C812DE">
      <w:pPr>
        <w:pStyle w:val="Akapitzlist"/>
        <w:numPr>
          <w:ilvl w:val="3"/>
          <w:numId w:val="14"/>
        </w:numPr>
        <w:spacing w:after="120" w:line="276" w:lineRule="auto"/>
        <w:ind w:left="1241" w:hanging="731"/>
        <w:jc w:val="both"/>
        <w:rPr>
          <w:rFonts w:cs="Times New Roman"/>
          <w:sz w:val="20"/>
          <w:szCs w:val="20"/>
        </w:rPr>
      </w:pPr>
      <w:r w:rsidRPr="002901C0">
        <w:rPr>
          <w:rFonts w:cs="Times New Roman"/>
          <w:sz w:val="20"/>
          <w:szCs w:val="20"/>
        </w:rPr>
        <w:t>Sygnalizacja dźwiękowa, jeżeli uwaga dot. krojenia jest wpisana.</w:t>
      </w:r>
    </w:p>
    <w:p w14:paraId="63892346"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Sortowanie listy roboczej wg trybu przyjęcia i projektu. Oznaczanie trybów przyjęcia i projektów konfigurowalnymi kolorami oraz przyznawanie trybom przyjęcia i projektom priorytetu sortowania.</w:t>
      </w:r>
    </w:p>
    <w:p w14:paraId="1F1B141E"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Możliwość automatycznej archiwizacji bloczków po skrojeniu poprzez skan kodu zasobnika archiwum przed rozpoczęciem krojenia.</w:t>
      </w:r>
    </w:p>
    <w:p w14:paraId="6CDF74A6"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Możliwość ponownego wydruku preparatu (w przypadku nieudanego wydruku lub uszkodzenia szkiełka) z odnotowaniem liczby wydruków. Możliwość szybkiego dodania kolejnego preparatu wskazanego typu do bloczka, w którego kontekście znajduje się użytkownik.</w:t>
      </w:r>
    </w:p>
    <w:p w14:paraId="538AF585"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Stanowisko kompletacji preparatów po barwieniu</w:t>
      </w:r>
    </w:p>
    <w:p w14:paraId="14F9DAD7"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Możliwość hurtowego przekazywania przypadków diagnozującemu.</w:t>
      </w:r>
    </w:p>
    <w:p w14:paraId="504D36AE"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Dwa warianty pracy:</w:t>
      </w:r>
    </w:p>
    <w:p w14:paraId="3D37A37A" w14:textId="77777777" w:rsidR="003F012A" w:rsidRPr="002901C0" w:rsidRDefault="003F012A" w:rsidP="00C812DE">
      <w:pPr>
        <w:pStyle w:val="Akapitzlist"/>
        <w:numPr>
          <w:ilvl w:val="3"/>
          <w:numId w:val="14"/>
        </w:numPr>
        <w:spacing w:after="120" w:line="276" w:lineRule="auto"/>
        <w:ind w:left="1241" w:hanging="731"/>
        <w:jc w:val="both"/>
        <w:rPr>
          <w:rFonts w:cs="Times New Roman"/>
          <w:sz w:val="20"/>
          <w:szCs w:val="20"/>
        </w:rPr>
      </w:pPr>
      <w:r w:rsidRPr="002901C0">
        <w:rPr>
          <w:rFonts w:cs="Times New Roman"/>
          <w:sz w:val="20"/>
          <w:szCs w:val="20"/>
        </w:rPr>
        <w:t>Kompletacja pokazująca na ekranie po odczytaniu pierwszego szkiełka wszystkie szkiełka z przypadku (listę) i „odznaczająca” kolejno odczytywane szkiełka do przekazania oceniającemu.</w:t>
      </w:r>
    </w:p>
    <w:p w14:paraId="1A87593D" w14:textId="77777777" w:rsidR="003F012A" w:rsidRPr="002901C0" w:rsidRDefault="003F012A" w:rsidP="00C812DE">
      <w:pPr>
        <w:pStyle w:val="Akapitzlist"/>
        <w:numPr>
          <w:ilvl w:val="3"/>
          <w:numId w:val="14"/>
        </w:numPr>
        <w:spacing w:after="120" w:line="276" w:lineRule="auto"/>
        <w:ind w:left="1241" w:hanging="731"/>
        <w:jc w:val="both"/>
        <w:rPr>
          <w:rFonts w:cs="Times New Roman"/>
          <w:sz w:val="20"/>
          <w:szCs w:val="20"/>
        </w:rPr>
      </w:pPr>
      <w:r w:rsidRPr="002901C0">
        <w:rPr>
          <w:rFonts w:cs="Times New Roman"/>
          <w:sz w:val="20"/>
          <w:szCs w:val="20"/>
        </w:rPr>
        <w:t>Kompletacja sortująca odczytywane preparaty na „zasobniki”/„teczki”. Sygnalizacja kompletności przypadków po umieszczeniu ostatniego brakującego preparatu w „zasobniku”.</w:t>
      </w:r>
    </w:p>
    <w:p w14:paraId="55772B70"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Komunikaty głosowe informujące użytkownika, na które pole powinien odłożyć kompletowany preparat podczas kompletacji na „zasobniki”.</w:t>
      </w:r>
    </w:p>
    <w:p w14:paraId="57CA3CF4"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Możliwość kompletacji na tzw. „stertę” – tymczasowe oznaczenie przypadków jako skompletowanych bez wskazywania osoby odpowiedzialnej, do późniejszego rozdziału na osoby oceniające za pomocą cesji przypadku.</w:t>
      </w:r>
    </w:p>
    <w:p w14:paraId="0491519C"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Podpowiedź lekarza diagnozującego, na podstawie informacji o lekarzu przypisanym do materiału na etapie pobierania wycinków, z zachowaniem możliwości korekty, poprzez ręczny wybór lekarza diagnozującego - lista/kafelek.</w:t>
      </w:r>
    </w:p>
    <w:p w14:paraId="55F46F8A"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Możliwość szybkiego potwierdzenia kompletacji poprzez zeskanowanie skierowania z weryfikacją posiadania preparatów i skierowania z jednego przypadku.</w:t>
      </w:r>
    </w:p>
    <w:p w14:paraId="1D67DEDF"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Dedykowany ekran hurtowej cesji przypadków pozwalający na hurtowe przekazanie przypadków ze „sterty” wybranemu diagnozującemu poprzez zeskanowanie skierowania. Możliwość hurtowego przekazania przypadków między diagnozującymi.</w:t>
      </w:r>
    </w:p>
    <w:p w14:paraId="34DDCD68"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Dedykowany ekran hurtowej cesji przypadków w pełni cyfrowych – bez papierowego skierowania i z preparatami w formie skanów.</w:t>
      </w:r>
    </w:p>
    <w:p w14:paraId="3C1DD1B1"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Możliwość zdefiniowania w systemie oddzielnych stanowisk kompletowania, dla osobnych pracowni.</w:t>
      </w:r>
    </w:p>
    <w:p w14:paraId="5F025501"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Stanowisko diagnozy (wpisywania rozpoznań)</w:t>
      </w:r>
    </w:p>
    <w:p w14:paraId="7784022B"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 xml:space="preserve">Lista robocza z informacją o gotowych przypadkach w następujących statusach: </w:t>
      </w:r>
    </w:p>
    <w:p w14:paraId="1E5420A9" w14:textId="77777777" w:rsidR="003F012A" w:rsidRPr="002901C0" w:rsidRDefault="003F012A" w:rsidP="003F012A">
      <w:pPr>
        <w:pStyle w:val="Akapitzlist"/>
        <w:numPr>
          <w:ilvl w:val="3"/>
          <w:numId w:val="14"/>
        </w:numPr>
        <w:spacing w:after="120" w:line="276" w:lineRule="auto"/>
        <w:jc w:val="both"/>
        <w:rPr>
          <w:rFonts w:cs="Times New Roman"/>
          <w:sz w:val="20"/>
          <w:szCs w:val="20"/>
        </w:rPr>
      </w:pPr>
      <w:bookmarkStart w:id="17" w:name="_Ref171595456"/>
      <w:r w:rsidRPr="002901C0">
        <w:rPr>
          <w:rFonts w:cs="Times New Roman"/>
          <w:sz w:val="20"/>
          <w:szCs w:val="20"/>
        </w:rPr>
        <w:t>przypadki „nowe” do diagnozowania,</w:t>
      </w:r>
      <w:bookmarkEnd w:id="17"/>
    </w:p>
    <w:p w14:paraId="1C75C299" w14:textId="77777777" w:rsidR="003F012A" w:rsidRPr="002901C0" w:rsidRDefault="003F012A" w:rsidP="003F012A">
      <w:pPr>
        <w:pStyle w:val="Akapitzlist"/>
        <w:numPr>
          <w:ilvl w:val="3"/>
          <w:numId w:val="14"/>
        </w:numPr>
        <w:spacing w:after="120" w:line="276" w:lineRule="auto"/>
        <w:jc w:val="both"/>
        <w:rPr>
          <w:rFonts w:cs="Times New Roman"/>
          <w:sz w:val="20"/>
          <w:szCs w:val="20"/>
        </w:rPr>
      </w:pPr>
      <w:r w:rsidRPr="002901C0">
        <w:rPr>
          <w:rFonts w:cs="Times New Roman"/>
          <w:sz w:val="20"/>
          <w:szCs w:val="20"/>
        </w:rPr>
        <w:t>przypadki w statusie do weryfikacji,</w:t>
      </w:r>
    </w:p>
    <w:p w14:paraId="6CB71AD5" w14:textId="77777777" w:rsidR="003F012A" w:rsidRPr="002901C0" w:rsidRDefault="003F012A" w:rsidP="003F012A">
      <w:pPr>
        <w:pStyle w:val="Akapitzlist"/>
        <w:numPr>
          <w:ilvl w:val="3"/>
          <w:numId w:val="14"/>
        </w:numPr>
        <w:spacing w:after="120" w:line="276" w:lineRule="auto"/>
        <w:jc w:val="both"/>
        <w:rPr>
          <w:rFonts w:cs="Times New Roman"/>
          <w:sz w:val="20"/>
          <w:szCs w:val="20"/>
        </w:rPr>
      </w:pPr>
      <w:r w:rsidRPr="002901C0">
        <w:rPr>
          <w:rFonts w:cs="Times New Roman"/>
          <w:sz w:val="20"/>
          <w:szCs w:val="20"/>
        </w:rPr>
        <w:t>przypadki w statusie wyniku wstępnego,</w:t>
      </w:r>
    </w:p>
    <w:p w14:paraId="478D4082" w14:textId="77777777" w:rsidR="003F012A" w:rsidRPr="002901C0" w:rsidRDefault="003F012A" w:rsidP="003F012A">
      <w:pPr>
        <w:pStyle w:val="Akapitzlist"/>
        <w:numPr>
          <w:ilvl w:val="3"/>
          <w:numId w:val="14"/>
        </w:numPr>
        <w:spacing w:after="120" w:line="276" w:lineRule="auto"/>
        <w:jc w:val="both"/>
        <w:rPr>
          <w:rFonts w:cs="Times New Roman"/>
          <w:sz w:val="20"/>
          <w:szCs w:val="20"/>
        </w:rPr>
      </w:pPr>
      <w:r w:rsidRPr="002901C0">
        <w:rPr>
          <w:rFonts w:cs="Times New Roman"/>
          <w:sz w:val="20"/>
          <w:szCs w:val="20"/>
        </w:rPr>
        <w:t>przypadki z oczekującymi zleceniami barwień dodatkowych i II rzutu (dobieranych z naczynia z materiałem),</w:t>
      </w:r>
    </w:p>
    <w:p w14:paraId="10F0A10F" w14:textId="77777777" w:rsidR="003F012A" w:rsidRPr="002901C0" w:rsidRDefault="003F012A" w:rsidP="003F012A">
      <w:pPr>
        <w:pStyle w:val="Akapitzlist"/>
        <w:numPr>
          <w:ilvl w:val="3"/>
          <w:numId w:val="14"/>
        </w:numPr>
        <w:spacing w:after="120" w:line="276" w:lineRule="auto"/>
        <w:jc w:val="both"/>
        <w:rPr>
          <w:rFonts w:cs="Times New Roman"/>
          <w:sz w:val="20"/>
          <w:szCs w:val="20"/>
        </w:rPr>
      </w:pPr>
      <w:r w:rsidRPr="002901C0">
        <w:rPr>
          <w:rFonts w:cs="Times New Roman"/>
          <w:sz w:val="20"/>
          <w:szCs w:val="20"/>
        </w:rPr>
        <w:t xml:space="preserve">przypadki z wykonanymi zleceniami barwień dodatkowych i II rzutu, </w:t>
      </w:r>
    </w:p>
    <w:p w14:paraId="7A5F6A27" w14:textId="77777777" w:rsidR="003F012A" w:rsidRPr="002901C0" w:rsidRDefault="003F012A" w:rsidP="003F012A">
      <w:pPr>
        <w:pStyle w:val="Akapitzlist"/>
        <w:numPr>
          <w:ilvl w:val="3"/>
          <w:numId w:val="14"/>
        </w:numPr>
        <w:spacing w:after="120" w:line="276" w:lineRule="auto"/>
        <w:jc w:val="both"/>
        <w:rPr>
          <w:rFonts w:cs="Times New Roman"/>
          <w:sz w:val="20"/>
          <w:szCs w:val="20"/>
        </w:rPr>
      </w:pPr>
      <w:r w:rsidRPr="002901C0">
        <w:rPr>
          <w:rFonts w:cs="Times New Roman"/>
          <w:sz w:val="20"/>
          <w:szCs w:val="20"/>
        </w:rPr>
        <w:t>przypadki przekazane do konsultacji przez innego diagnozującego,</w:t>
      </w:r>
    </w:p>
    <w:p w14:paraId="397852BA" w14:textId="77777777" w:rsidR="003F012A" w:rsidRPr="002901C0" w:rsidRDefault="003F012A" w:rsidP="003F012A">
      <w:pPr>
        <w:pStyle w:val="Akapitzlist"/>
        <w:numPr>
          <w:ilvl w:val="3"/>
          <w:numId w:val="14"/>
        </w:numPr>
        <w:spacing w:after="120" w:line="276" w:lineRule="auto"/>
        <w:jc w:val="both"/>
        <w:rPr>
          <w:rFonts w:cs="Times New Roman"/>
          <w:sz w:val="20"/>
          <w:szCs w:val="20"/>
        </w:rPr>
      </w:pPr>
      <w:r w:rsidRPr="002901C0">
        <w:rPr>
          <w:rFonts w:cs="Times New Roman"/>
          <w:sz w:val="20"/>
          <w:szCs w:val="20"/>
        </w:rPr>
        <w:t>przypadki do skonsultowania od innych diagnozujących,</w:t>
      </w:r>
    </w:p>
    <w:p w14:paraId="580A8D73" w14:textId="77777777" w:rsidR="003F012A" w:rsidRPr="002901C0" w:rsidRDefault="003F012A" w:rsidP="003F012A">
      <w:pPr>
        <w:pStyle w:val="Akapitzlist"/>
        <w:numPr>
          <w:ilvl w:val="3"/>
          <w:numId w:val="14"/>
        </w:numPr>
        <w:spacing w:after="120" w:line="276" w:lineRule="auto"/>
        <w:jc w:val="both"/>
        <w:rPr>
          <w:rFonts w:cs="Times New Roman"/>
          <w:sz w:val="20"/>
          <w:szCs w:val="20"/>
        </w:rPr>
      </w:pPr>
      <w:r w:rsidRPr="002901C0">
        <w:rPr>
          <w:rFonts w:cs="Times New Roman"/>
          <w:sz w:val="20"/>
          <w:szCs w:val="20"/>
        </w:rPr>
        <w:t>przypadki przekazane do kontrasygnaty nowotworu złośliwego,</w:t>
      </w:r>
    </w:p>
    <w:p w14:paraId="27E1537D" w14:textId="77777777" w:rsidR="003F012A" w:rsidRPr="002901C0" w:rsidRDefault="003F012A" w:rsidP="003F012A">
      <w:pPr>
        <w:pStyle w:val="Akapitzlist"/>
        <w:numPr>
          <w:ilvl w:val="3"/>
          <w:numId w:val="14"/>
        </w:numPr>
        <w:spacing w:after="120" w:line="276" w:lineRule="auto"/>
        <w:jc w:val="both"/>
        <w:rPr>
          <w:rFonts w:cs="Times New Roman"/>
          <w:sz w:val="20"/>
          <w:szCs w:val="20"/>
        </w:rPr>
      </w:pPr>
      <w:r w:rsidRPr="002901C0">
        <w:rPr>
          <w:rFonts w:cs="Times New Roman"/>
          <w:sz w:val="20"/>
          <w:szCs w:val="20"/>
        </w:rPr>
        <w:lastRenderedPageBreak/>
        <w:t>przypadki do kontrasygnowania nowotworu złośliwego,</w:t>
      </w:r>
    </w:p>
    <w:p w14:paraId="0A4CACAB" w14:textId="77777777" w:rsidR="003F012A" w:rsidRPr="002901C0" w:rsidRDefault="003F012A" w:rsidP="003F012A">
      <w:pPr>
        <w:pStyle w:val="Akapitzlist"/>
        <w:numPr>
          <w:ilvl w:val="3"/>
          <w:numId w:val="14"/>
        </w:numPr>
        <w:spacing w:after="120" w:line="276" w:lineRule="auto"/>
        <w:jc w:val="both"/>
        <w:rPr>
          <w:rFonts w:cs="Times New Roman"/>
          <w:sz w:val="20"/>
          <w:szCs w:val="20"/>
        </w:rPr>
      </w:pPr>
      <w:r w:rsidRPr="002901C0">
        <w:rPr>
          <w:rFonts w:cs="Times New Roman"/>
          <w:sz w:val="20"/>
          <w:szCs w:val="20"/>
        </w:rPr>
        <w:t>przypadki z oczekującymi zleceniami badań do innej jednostki organizacyjnej,</w:t>
      </w:r>
    </w:p>
    <w:p w14:paraId="3A88CFD3" w14:textId="77777777" w:rsidR="003F012A" w:rsidRPr="002901C0" w:rsidRDefault="003F012A" w:rsidP="003F012A">
      <w:pPr>
        <w:pStyle w:val="Akapitzlist"/>
        <w:numPr>
          <w:ilvl w:val="3"/>
          <w:numId w:val="14"/>
        </w:numPr>
        <w:spacing w:after="120" w:line="276" w:lineRule="auto"/>
        <w:jc w:val="both"/>
        <w:rPr>
          <w:rFonts w:cs="Times New Roman"/>
          <w:sz w:val="20"/>
          <w:szCs w:val="20"/>
        </w:rPr>
      </w:pPr>
      <w:r w:rsidRPr="002901C0">
        <w:rPr>
          <w:rFonts w:cs="Times New Roman"/>
          <w:sz w:val="20"/>
          <w:szCs w:val="20"/>
        </w:rPr>
        <w:t xml:space="preserve">przypadki z wykonanymi badaniami w innej jednostce organizacyjnej, </w:t>
      </w:r>
    </w:p>
    <w:p w14:paraId="2D9991DE" w14:textId="77777777" w:rsidR="003F012A" w:rsidRPr="002901C0" w:rsidRDefault="003F012A" w:rsidP="003F012A">
      <w:pPr>
        <w:pStyle w:val="Akapitzlist"/>
        <w:numPr>
          <w:ilvl w:val="3"/>
          <w:numId w:val="14"/>
        </w:numPr>
        <w:spacing w:after="120" w:line="276" w:lineRule="auto"/>
        <w:jc w:val="both"/>
        <w:rPr>
          <w:rFonts w:cs="Times New Roman"/>
          <w:sz w:val="20"/>
          <w:szCs w:val="20"/>
        </w:rPr>
      </w:pPr>
      <w:r w:rsidRPr="002901C0">
        <w:rPr>
          <w:rFonts w:cs="Times New Roman"/>
          <w:sz w:val="20"/>
          <w:szCs w:val="20"/>
        </w:rPr>
        <w:t>przypadki w statusie wyniku ostatecznego do podpisu elektronicznego.</w:t>
      </w:r>
      <w:r w:rsidRPr="002901C0">
        <w:rPr>
          <w:rFonts w:cs="Times New Roman"/>
          <w:sz w:val="20"/>
          <w:szCs w:val="20"/>
        </w:rPr>
        <w:br/>
        <w:t>Na liście roboczej powinny być widoczne graficzne oznaczenia otwartych i zakończonych zleceń w danym przypadku. Powinna być zapewniona możliwość szybkiego podejrzenia wpisanych rozpoznań (w tym rozpoznań klinicznych) z danych przypadków (np. w „dymku”) bez opuszczania listy roboczej.</w:t>
      </w:r>
    </w:p>
    <w:p w14:paraId="777DBEAC"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 xml:space="preserve">Sortowanie listy roboczej wg trybu przyjęcia, projektu i oczekiwanej daty wyniku obliczanej w systemie na podstawie rozbudowanych reguł terminowości. </w:t>
      </w:r>
    </w:p>
    <w:p w14:paraId="2E08C233"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Filtrowanie listy roboczej względem jednostki organizacyjnej, czy przypadek posiada skany preparatów lub jest w pełni cyfrowy (Digital Pathology).</w:t>
      </w:r>
    </w:p>
    <w:p w14:paraId="210EDFCB"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Możliwość przekierowania przypadku wraz z preparatami do innego lekarza opisującego (cesja przypadku).</w:t>
      </w:r>
    </w:p>
    <w:p w14:paraId="52AC2A3D"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Wybór przypadku przez odczytanie kodu kreskowego lub wpisanie numeru z dowolnego obiektu należącego do przypadku (m.in. skierowanie, preparat, bloczek) powodujące automatyczne przeniesienie kontekstu interfejsu użytkownika do: tego obiektu lub danych przypadku, lub treści rozpoznania (zależnie od preferencji użytkownika).</w:t>
      </w:r>
    </w:p>
    <w:p w14:paraId="31DD488B"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Dodawanie, edycja, usuwanie rozpoznań do badań w przypadku.</w:t>
      </w:r>
    </w:p>
    <w:p w14:paraId="1134C2EF"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Możliwość trzyetapowego zatwierdzania wyniku np.: „do weryfikacji”, „wynik wstępny”, „wynik ostateczny”.</w:t>
      </w:r>
    </w:p>
    <w:p w14:paraId="3026F469"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Szablony rozpoznań wg określonych protokołów pozwalające m.in. na tworzenie raportów synoptycznych. Możliwość tworzenia dodatkowych pól raportu, które następnie przekładają się na zdefiniowane teksty na wydruku rozpoznania. Raporty powinny móc zawierać typy pól: wyboru (checkbox), słownikowe, numeryczne (z określoną precyzją po przecinku), tekstowe, daty/czasu, ukrywane/pokazywane w zależności od pozostałych pól i ich kombinacji, obliczane automatycznie na podstawie innych pól i ich kombinacji. Funkcjonalność raportów synoptycznych wbudowana w oferowane rozwiązanie, bez konieczności dokupowania/wykorzystania dodatkowych modułów lub aplikacji (w tym zintegrowanych).</w:t>
      </w:r>
    </w:p>
    <w:p w14:paraId="617B32B7" w14:textId="759920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Możliwość klasyfikacji rozpoznań według kodów ICD-10, ICD-O3, ORPHA itp. Wymagana implementacja w systemie słowników ICD-10 i ICD-O3 w polskiej wersji językowej. Możliwość dodawania wielu rozpoznań z tej samej klasyfikacji do jednego rozpoznania.</w:t>
      </w:r>
    </w:p>
    <w:p w14:paraId="4E5576C3"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Możliwość podania wartości pTNM.</w:t>
      </w:r>
    </w:p>
    <w:p w14:paraId="3FBA0057"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W przypadku rozpoznań śródoperacyjnych możliwość zapisania w dedykowanych polach: daty i godziny przekazania wyniku, komu przekazano wynik oraz w jaki sposób (kanał komunikacji).</w:t>
      </w:r>
    </w:p>
    <w:p w14:paraId="5DABD9DA"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Możliwość wiązania stawianego rozpoznania z dokładnością do pojedynczej procedury (np. bloczka parafinowego czy preparatu) w przypadku, całego przypadku lub dowolnej kombinacji składowych procedur. Hurtowe wiązanie pojedynczego rozpoznania ze wszystkimi procedurami składowymi.</w:t>
      </w:r>
    </w:p>
    <w:p w14:paraId="24D16EA4"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Możliwość kontrasygnaty ze wskazaniem preferowanego drugiego diagnozującego lub konsultującego. Badanie przeznaczone do oceny przez drugą osobę pojawia się na liście roboczej wskazanego użytkownika.</w:t>
      </w:r>
    </w:p>
    <w:p w14:paraId="118E5961"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Dostępne formularze dla rozpoznań cytologii ginekologicznej wg systemu Bethesda 2001 i 2014 (zarówno w wersji NFZ - SIMP jak i standardowej). Możliwość równoległego korzystania z różnych standardów klasyfikacji.  Rozpoznawanie i wyróżnienie wyników pozytywnych. Możliwość wpisywania wyników w wersji graficznej (poprzez formularz z polami wyboru) lub tekstowej (kodami i skrótami) z weryfikacją poprawności rozpoznania.</w:t>
      </w:r>
    </w:p>
    <w:p w14:paraId="1D07A2E0"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lastRenderedPageBreak/>
        <w:t>Dostępne formularze dla rozpoznań cytologii wg systemu Milano (cytologia ślinianki), Bethesda (cytologia tarczycy) oraz klasyfikacji Paryskiej (cytologia moczu).</w:t>
      </w:r>
    </w:p>
    <w:p w14:paraId="49002D89"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Zatwierdzanie i podpisywanie plików PDF z rozpoznaniem (wynikiem) podpisem elektronicznym (wbudowanym w plik PDF). Możliwość podpisania podpisem elektronicznym wyników wstępnych i ostatecznych.</w:t>
      </w:r>
    </w:p>
    <w:p w14:paraId="26DFC985"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Zabezpieczenie przed podpisaniem podpisem innym niż zapamiętany w profilu użytkownika. Możliwość wyłączenia możliwości złożenia podpisu przez inną osobę niż odpowiedzialna za przypadek lub możliwość złożenia takiego podpisu z powiadomieniem kierownika o wystąpieniu takiej sytuacji.</w:t>
      </w:r>
    </w:p>
    <w:p w14:paraId="7242CA9B"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Szablony rozpoznań danego użytkownika oraz globalne (dostępne dla wszystkich użytkowników z danej jednostki organizacyjnej) dodawane każdorazowo do treści poprzez wybór z listy oraz automatycznie poprzez wpisanie słowa kluczowego w trakcie tworzenia rozpoznania.</w:t>
      </w:r>
    </w:p>
    <w:p w14:paraId="07638D9B"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Automatyczne fragmenty rozpoznań dodawane poprzez wpisanie słowa kluczowego w trakcie tworzenia rozpoznania, których treść jest dynamicznie zależna od danego przypadku, m.in. lista lokalizacji anatomicznych, lista typów preparatów immunohistochemicznych, które wystąpiły w przypadku.</w:t>
      </w:r>
    </w:p>
    <w:p w14:paraId="113C1900"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Możliwość zablokowania cofnięcia zatwierdzenia wyniku przypadku i/lub możliwość cofnięcia zatwierdzonego przypadku do trybu edycji tylko przez określony czas. Po upływie tego czasu cofnięcie może być wykonane tylko przez kierownika lub administratora.</w:t>
      </w:r>
    </w:p>
    <w:p w14:paraId="4997D67D"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Możliwość łatwego podejrzenia i skopiowania obrazu makroskopowego oraz danych z poprzednich badań danego pacjenta bez opuszczania ekranu tworzonego lub edytowanego rozpoznania.</w:t>
      </w:r>
    </w:p>
    <w:p w14:paraId="610C49CE"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Zabezpieczenie przed utratą wpisywanego opisu makroskopowego lub rozpoznania poprzez automatyczne, cykliczne zachowanie jego kopii zapasowej, np. na wypadek utraty zasilania lub łączności z serwerem. Treści rozpoznań i dane osobowe nie mogą być przechowywane na stacji roboczej użytkownika.</w:t>
      </w:r>
    </w:p>
    <w:p w14:paraId="2F786038"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Komunikacja między diagnozującymi na zasadzie automatycznie odświeżającego się „czatu” w obrębie danego przypadku, z powiadomieniem na liście roboczej diagnozującego o nieprzeczytanym nowym wpisie w kontekście przypadku.</w:t>
      </w:r>
    </w:p>
    <w:p w14:paraId="38100BE7"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Możliwość oznaczania statusu zgodności rozpoznań konsultacyjnych, zgodności rozpoznania pointrowego/pooperacyjnego z rozpoznaniem introwym w celu umożliwienia sporządzania statystyk.</w:t>
      </w:r>
    </w:p>
    <w:p w14:paraId="5AA5624D"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Określanie korelacji (zgodności) rozpoznań z wcześniejszymi wynikami z automatyczną integracją z funkcjonalnością kontroli jakości i raportami. Możliwość wymuszenia określenia korelacji (zgodności rozpoznań) dla zdefiniowanych typów badań.</w:t>
      </w:r>
    </w:p>
    <w:p w14:paraId="15B90575"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Blokada edycji rozpoznań w zatwierdzonych (i/lub podpisanych) wcześniej przypadkach/wynikach z możliwością wielokrotnego dodania uzupełnienia wyniku.</w:t>
      </w:r>
    </w:p>
    <w:p w14:paraId="7613190A" w14:textId="77777777" w:rsidR="003F012A" w:rsidRPr="002901C0" w:rsidRDefault="003F012A" w:rsidP="003F012A">
      <w:pPr>
        <w:pStyle w:val="Akapitzlist"/>
        <w:numPr>
          <w:ilvl w:val="1"/>
          <w:numId w:val="14"/>
        </w:numPr>
        <w:spacing w:after="120" w:line="276" w:lineRule="auto"/>
        <w:ind w:left="567"/>
        <w:rPr>
          <w:rFonts w:cs="Times New Roman"/>
          <w:sz w:val="20"/>
          <w:szCs w:val="20"/>
        </w:rPr>
      </w:pPr>
      <w:r w:rsidRPr="002901C0">
        <w:rPr>
          <w:rFonts w:cs="Times New Roman"/>
          <w:sz w:val="20"/>
          <w:szCs w:val="20"/>
        </w:rPr>
        <w:t>Stanowisko wyszukiwania i wydawania wyników (sekretariat)</w:t>
      </w:r>
    </w:p>
    <w:p w14:paraId="55B49608"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 xml:space="preserve">Wyszukiwanie przypadków po danych określonych w punkcie </w:t>
      </w:r>
      <w:r w:rsidRPr="002901C0">
        <w:rPr>
          <w:rFonts w:cs="Times New Roman"/>
          <w:sz w:val="20"/>
          <w:szCs w:val="20"/>
        </w:rPr>
        <w:fldChar w:fldCharType="begin"/>
      </w:r>
      <w:r w:rsidRPr="002901C0">
        <w:rPr>
          <w:rFonts w:cs="Times New Roman"/>
          <w:sz w:val="20"/>
          <w:szCs w:val="20"/>
        </w:rPr>
        <w:instrText xml:space="preserve"> REF _Ref171595966 \r \h  \* MERGEFORMAT </w:instrText>
      </w:r>
      <w:r w:rsidRPr="002901C0">
        <w:rPr>
          <w:rFonts w:cs="Times New Roman"/>
          <w:sz w:val="20"/>
          <w:szCs w:val="20"/>
        </w:rPr>
      </w:r>
      <w:r w:rsidRPr="002901C0">
        <w:rPr>
          <w:rFonts w:cs="Times New Roman"/>
          <w:sz w:val="20"/>
          <w:szCs w:val="20"/>
        </w:rPr>
        <w:fldChar w:fldCharType="separate"/>
      </w:r>
      <w:r w:rsidRPr="002901C0">
        <w:rPr>
          <w:rFonts w:cs="Times New Roman"/>
          <w:sz w:val="20"/>
          <w:szCs w:val="20"/>
        </w:rPr>
        <w:t>2.1</w:t>
      </w:r>
      <w:r w:rsidRPr="002901C0">
        <w:rPr>
          <w:rFonts w:cs="Times New Roman"/>
          <w:sz w:val="20"/>
          <w:szCs w:val="20"/>
        </w:rPr>
        <w:fldChar w:fldCharType="end"/>
      </w:r>
    </w:p>
    <w:p w14:paraId="0BECA56C"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Prezentacja tabelarycznej listy wyszukanych przypadków spełniających kryteria.</w:t>
      </w:r>
    </w:p>
    <w:p w14:paraId="1092E506"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Możliwość wydruku wersji papierowej wyniku. Liczba wydrukowanych kopii zgodna z preferencjami użytkownika i konfiguracją w kontekście zlecającego.</w:t>
      </w:r>
    </w:p>
    <w:p w14:paraId="6E68C0EA"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Możliwość podglądu wyniku oraz pobrania wersji PDF przez uprawnionego użytkownika.  Możliwość zabezpieczenia pliku PDF przed edycją po otworzeniu go np. w Microsoft Word.</w:t>
      </w:r>
    </w:p>
    <w:p w14:paraId="43BDB184"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Możliwość wyboru kryteriów i wydruku wybranych wyników.</w:t>
      </w:r>
    </w:p>
    <w:p w14:paraId="5F4FECFE"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lastRenderedPageBreak/>
        <w:t>Możliwość hurtowego wydruku wyników przypadków spełniających kryteria wyszukiwania. Liczba wydrukowanych kopii zgodna z preferencjami użytkownika i konfiguracją w kontekście zlecającego.</w:t>
      </w:r>
    </w:p>
    <w:p w14:paraId="1843B686"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Wydruk etykiet adresowych na koperty z wynikami oraz na przypadki konsultacyjne (zwrot wykorzystanego materiału diagnostycznego). Możliwość skonfigurowania adresów niezależnych od zlecającego, właściwych dla pojedynczego przypadku. Możliwość skonfigurowania dowolnej liczby adresów wysyłkowych w jednym przypadku.</w:t>
      </w:r>
    </w:p>
    <w:p w14:paraId="78BDFBE2"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Wydruk etykiet adresowych na koperty z fakturami dla kontrahentów za wykonane badania.</w:t>
      </w:r>
    </w:p>
    <w:p w14:paraId="2B74F8B3"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Dedykowany ekran pozwalający na oznaczenie wyniku jako wydanego poprzez jego zeskanowanie czytnikiem kodów. Kod kreskowy na wyniku musi określać jednocześnie wersję wyniku, a podczas jego wydawania system musi weryfikować, czy wynik wydawany jest w aktualnej wersji.</w:t>
      </w:r>
    </w:p>
    <w:p w14:paraId="4175BE93"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Dedykowany ekran pozwalający na wpisanie wyniku na listę do pokwitowania. Zamknięcie listy wyników oznacza je jako wydane i pozwala na wydruk listy do pokwitowania z miejscem na podpis osoby odbierającej wyniki.  Kod kreskowy na wyniku musi określać jednocześnie wersję wyniku, a podczas jego wydawania system musi weryfikować, czy wynik wydawany jest w aktualnej wersji.</w:t>
      </w:r>
    </w:p>
    <w:p w14:paraId="5D1CD52F"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Dedykowany ekran wydruku kart informacyjnych przypadku. Filtrowanie listy wg kryteriów daty dodania badania, lokalizacji. Sortowanie po numerze przypadku lub dacie dodania badania. Możliwość hurtowego lub pojedynczego wydruku kart informacyjnych przypadków z prezentowanej listy.</w:t>
      </w:r>
    </w:p>
    <w:p w14:paraId="362B465D" w14:textId="77777777" w:rsidR="003F012A" w:rsidRPr="002901C0" w:rsidRDefault="003F012A" w:rsidP="003F012A">
      <w:pPr>
        <w:pStyle w:val="Akapitzlist"/>
        <w:numPr>
          <w:ilvl w:val="1"/>
          <w:numId w:val="14"/>
        </w:numPr>
        <w:spacing w:after="120" w:line="276" w:lineRule="auto"/>
        <w:ind w:left="567"/>
        <w:rPr>
          <w:rFonts w:cs="Times New Roman"/>
          <w:sz w:val="20"/>
          <w:szCs w:val="20"/>
        </w:rPr>
      </w:pPr>
      <w:r w:rsidRPr="002901C0">
        <w:rPr>
          <w:rFonts w:cs="Times New Roman"/>
          <w:sz w:val="20"/>
          <w:szCs w:val="20"/>
        </w:rPr>
        <w:t>Stanowisko archiwum</w:t>
      </w:r>
    </w:p>
    <w:p w14:paraId="353732E8"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Obsługa archiwów dla poszczególnych obiektów (skierowanie papierowe, materiał biologiczny, bloczek parafinowy, szkiełko/preparat) i prowadzenie dla nich ewidencji zgodnie z rozporządzeniem Ministra Zdrowia z dnia 18 grudnia 2017 r. (wraz z późniejszymi zmianami) w sprawie standardów organizacyjnych opieki zdrowotnej w dziedzinie patomorfologii.</w:t>
      </w:r>
    </w:p>
    <w:p w14:paraId="21A8AEF2"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Przypisanie obiektu do lokalizacji w archiwum po zeskanowaniu czytnikiem kodów, w tym hurtowe.</w:t>
      </w:r>
    </w:p>
    <w:p w14:paraId="5F4C4A63"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Lista robocza zleceń wypożyczenia bloczków i preparatów, umożliwiająca podejmowanie zleceń wypożyczeń, potwierdzanie wyjęcia obiektu z archiwum, przekazanie zlecenia wypożyczenia do autoryzacji przez upoważnioną grupę użytkowników i wydawanie wypożyczeń.</w:t>
      </w:r>
    </w:p>
    <w:p w14:paraId="0CCE94F4"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Obsługa typów wypożyczeń:</w:t>
      </w:r>
    </w:p>
    <w:p w14:paraId="6C351813" w14:textId="77777777" w:rsidR="003F012A" w:rsidRPr="002901C0" w:rsidRDefault="003F012A" w:rsidP="003F012A">
      <w:pPr>
        <w:pStyle w:val="Akapitzlist"/>
        <w:numPr>
          <w:ilvl w:val="3"/>
          <w:numId w:val="14"/>
        </w:numPr>
        <w:spacing w:after="120" w:line="276" w:lineRule="auto"/>
        <w:jc w:val="both"/>
        <w:rPr>
          <w:rFonts w:cs="Times New Roman"/>
          <w:sz w:val="20"/>
          <w:szCs w:val="20"/>
        </w:rPr>
      </w:pPr>
      <w:r w:rsidRPr="002901C0">
        <w:rPr>
          <w:rFonts w:cs="Times New Roman"/>
          <w:sz w:val="20"/>
          <w:szCs w:val="20"/>
        </w:rPr>
        <w:t>wewnętrznych – na rzecz pracowników zakładu (do przypadków zatwierdzonych i niezatwierdzonych)</w:t>
      </w:r>
    </w:p>
    <w:p w14:paraId="4BE97D06" w14:textId="77777777" w:rsidR="003F012A" w:rsidRPr="002901C0" w:rsidRDefault="003F012A" w:rsidP="003F012A">
      <w:pPr>
        <w:pStyle w:val="Akapitzlist"/>
        <w:numPr>
          <w:ilvl w:val="3"/>
          <w:numId w:val="14"/>
        </w:numPr>
        <w:spacing w:after="120" w:line="276" w:lineRule="auto"/>
        <w:jc w:val="both"/>
        <w:rPr>
          <w:rFonts w:cs="Times New Roman"/>
          <w:sz w:val="20"/>
          <w:szCs w:val="20"/>
        </w:rPr>
      </w:pPr>
      <w:r w:rsidRPr="002901C0">
        <w:rPr>
          <w:rFonts w:cs="Times New Roman"/>
          <w:sz w:val="20"/>
          <w:szCs w:val="20"/>
        </w:rPr>
        <w:t>zewnętrznych – na wniosek osoby/instytucji zewnętrznej (do przypadków zatwierdzonych)</w:t>
      </w:r>
    </w:p>
    <w:p w14:paraId="576E2D37" w14:textId="77777777" w:rsidR="003F012A" w:rsidRPr="002901C0" w:rsidRDefault="003F012A" w:rsidP="003F012A">
      <w:pPr>
        <w:pStyle w:val="Akapitzlist"/>
        <w:numPr>
          <w:ilvl w:val="3"/>
          <w:numId w:val="14"/>
        </w:numPr>
        <w:spacing w:after="120" w:line="276" w:lineRule="auto"/>
        <w:jc w:val="both"/>
        <w:rPr>
          <w:rFonts w:cs="Times New Roman"/>
          <w:sz w:val="20"/>
          <w:szCs w:val="20"/>
        </w:rPr>
      </w:pPr>
      <w:r w:rsidRPr="002901C0">
        <w:rPr>
          <w:rFonts w:cs="Times New Roman"/>
          <w:sz w:val="20"/>
          <w:szCs w:val="20"/>
        </w:rPr>
        <w:t>do innej jednostki organizacyjnej w obrębie oferowanego systemu (do przypadków zatwierdzonych)</w:t>
      </w:r>
    </w:p>
    <w:p w14:paraId="38C96F3F" w14:textId="77777777" w:rsidR="003F012A" w:rsidRPr="002901C0" w:rsidRDefault="003F012A" w:rsidP="003F012A">
      <w:pPr>
        <w:pStyle w:val="Akapitzlist"/>
        <w:numPr>
          <w:ilvl w:val="3"/>
          <w:numId w:val="14"/>
        </w:numPr>
        <w:spacing w:after="120" w:line="276" w:lineRule="auto"/>
        <w:jc w:val="both"/>
        <w:rPr>
          <w:rFonts w:cs="Times New Roman"/>
          <w:sz w:val="20"/>
          <w:szCs w:val="20"/>
        </w:rPr>
      </w:pPr>
      <w:r w:rsidRPr="002901C0">
        <w:rPr>
          <w:rFonts w:cs="Times New Roman"/>
          <w:sz w:val="20"/>
          <w:szCs w:val="20"/>
        </w:rPr>
        <w:t>do zewnętrznej konsultacji – z otwartego przypadku do zewnętrznego ośrodka konsultacyjnego (do przypadków niezatwierdzonych).</w:t>
      </w:r>
    </w:p>
    <w:p w14:paraId="22BD9CAE"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Zabezpieczenie przed próbą powtórnego wypożyczenia już wypożyczonego obiektu.</w:t>
      </w:r>
    </w:p>
    <w:p w14:paraId="5F307C0D"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Zabezpieczenie przed próbą rejestracji zlecenia barwienia dodatkowego do bloczka, który jest wypożyczony. Zabezpieczenie przed próbą archiwizacji bloczka, do którego wystawiono zlecenie barwienia dodatkowego.</w:t>
      </w:r>
    </w:p>
    <w:p w14:paraId="6213EB71"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 xml:space="preserve">Funkcjonalność wypożyczenia i zwrotu preparatu/bloczka z danego przypadku (w tym zwrotu częściowego) z datą wypożyczenia, instytucją, osobą wypożyczającą, celem </w:t>
      </w:r>
      <w:r w:rsidRPr="002901C0">
        <w:rPr>
          <w:rFonts w:cs="Times New Roman"/>
          <w:sz w:val="20"/>
          <w:szCs w:val="20"/>
        </w:rPr>
        <w:lastRenderedPageBreak/>
        <w:t xml:space="preserve">wypożyczenia oraz wydrukiem wniosku i możliwością dołączenia skanu wniosku oraz upoważnienia. </w:t>
      </w:r>
    </w:p>
    <w:p w14:paraId="313C3D65"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Możliwość oznaczenia otrzymania faktury za konsultację z innym ośrodkiem.</w:t>
      </w:r>
    </w:p>
    <w:p w14:paraId="6F0C2262"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Obsługa archiwum materiałów tkankowych pozostałych po pobraniu. Możliwość zmiany standardowego okresu archiwizacji materiałów tkankowych poprzez wybranie innego profilu utylizacji lub podanie konkretnej daty utylizacji. Prezentacja informacji o zwolnieniu do utylizacji po upływie zdefiniowanego czasu od autoryzacji wyniku.</w:t>
      </w:r>
    </w:p>
    <w:p w14:paraId="3F8FE983"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Materiał oznaczony jako wyskrobiny z jamy macicy po poronieniu powinien móc zostać zwolniony z archiwum przed obliczonym terminem utylizacji, np. w przypadku odbioru materiału do pochówku.</w:t>
      </w:r>
    </w:p>
    <w:p w14:paraId="0EFE0D40"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Obsługa zasobników archiwizacji. Zasobniki na archiwizację bloczków, preparatów, skierowań. Każdy zasobnik powinien mieć swój kod możliwy do wydrukowania i odczytania czytnikiem. Każdy zasobnik powinien mieć swoją pojemność, która nie może zostać przekroczona. Każdy zasobnik powinien mieć określone miejsce archiwizacji. Zasobniki wraz z zawartością powinny móc być przenoszone hurtowo w inne miejsce lub do innego archiwum bez konieczności ponownego skanowania obiektów znajdujących się w zasobniku. Różne typy zasobników powinny móc być numerowane zgodnie ze wzorem numeracji właściwym dla danego typu.</w:t>
      </w:r>
    </w:p>
    <w:p w14:paraId="434F0EBE" w14:textId="77777777" w:rsidR="003F012A" w:rsidRPr="002901C0" w:rsidRDefault="003F012A" w:rsidP="003F012A">
      <w:pPr>
        <w:pStyle w:val="Akapitzlist"/>
        <w:numPr>
          <w:ilvl w:val="1"/>
          <w:numId w:val="14"/>
        </w:numPr>
        <w:spacing w:after="120" w:line="276" w:lineRule="auto"/>
        <w:ind w:left="567"/>
        <w:rPr>
          <w:rFonts w:cs="Times New Roman"/>
          <w:sz w:val="20"/>
          <w:szCs w:val="20"/>
        </w:rPr>
      </w:pPr>
      <w:r w:rsidRPr="002901C0">
        <w:rPr>
          <w:rFonts w:cs="Times New Roman"/>
          <w:sz w:val="20"/>
          <w:szCs w:val="20"/>
        </w:rPr>
        <w:t>Monitoring zleceń barwień.</w:t>
      </w:r>
    </w:p>
    <w:p w14:paraId="4AF5553B"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Dedykowany ekran pokazujący liczbę i sumę zleconych barwień (wszystkich rodzajów wykonywanych w zakładzie) na danym etapie: zlecone, wyszukiwane w archiwum, przekazane do krojenia, krojenie, przekazane do barwienia, barwienie. Lista powinna być pogrupowana wg typu barwienia.</w:t>
      </w:r>
    </w:p>
    <w:p w14:paraId="40D399D7"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 xml:space="preserve">Dedykowany ekran określania szczegółowego protokołu barwienia. Po zeskanowaniu kodu kreskowego preparatu posiadającego wiele dostępnych protokołów barwienia prezentacja opcji do manualnego wyboru przez użytkownika. </w:t>
      </w:r>
      <w:r w:rsidRPr="002901C0">
        <w:rPr>
          <w:rFonts w:cs="Times New Roman"/>
          <w:sz w:val="20"/>
          <w:szCs w:val="20"/>
        </w:rPr>
        <w:br/>
        <w:t>Wybranie opcji zmienia typ preparatu z ogólnego na bardziej szczegółowy.</w:t>
      </w:r>
    </w:p>
    <w:p w14:paraId="70F1DACA" w14:textId="51C94ABA" w:rsidR="003F012A" w:rsidRPr="00132128" w:rsidRDefault="003F012A" w:rsidP="003F012A">
      <w:pPr>
        <w:pStyle w:val="Nagwek1"/>
        <w:numPr>
          <w:ilvl w:val="0"/>
          <w:numId w:val="14"/>
        </w:numPr>
        <w:tabs>
          <w:tab w:val="num" w:pos="360"/>
        </w:tabs>
        <w:rPr>
          <w:rFonts w:asciiTheme="minorHAnsi" w:hAnsiTheme="minorHAnsi" w:cs="Times New Roman"/>
          <w:sz w:val="20"/>
          <w:szCs w:val="20"/>
        </w:rPr>
      </w:pPr>
      <w:bookmarkStart w:id="18" w:name="_Toc203118154"/>
      <w:r w:rsidRPr="002901C0">
        <w:rPr>
          <w:rFonts w:asciiTheme="minorHAnsi" w:hAnsiTheme="minorHAnsi" w:cs="Times New Roman"/>
          <w:sz w:val="20"/>
          <w:szCs w:val="20"/>
        </w:rPr>
        <w:t>Śledzenie przypadku</w:t>
      </w:r>
      <w:bookmarkEnd w:id="18"/>
    </w:p>
    <w:p w14:paraId="09636B73"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Informacja dla obiektów (skierowanie, materiał, odwapniacze, bloczki, preparaty, etapy procesu) o statusie postępu obróbki technicznej, lokalizacji w obrębie struktury organizacyjnej (stanowiska komputerowego, na którym ostatnio był zeskanowany w celu zmiany statusu) oraz osobach zmieniających status obiektów i czasie każdej z dokonanych zmian.</w:t>
      </w:r>
    </w:p>
    <w:p w14:paraId="461DDC31"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Automatyczna integracja ekranów stanowiskowych (m.in. zatapianie, krojenie, kompletacja itp.) z funkcjonalnością śledzenia przypadku.</w:t>
      </w:r>
    </w:p>
    <w:p w14:paraId="02950D3C"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Funkcja „szybkiego statusu” pokazująca kluczowe informacje na temat etapu diagnostyki danego badania i bieżącej lokalizacji skierowania, materiałów, bloczków i preparatów.</w:t>
      </w:r>
    </w:p>
    <w:p w14:paraId="6EEA5096" w14:textId="572F09DF" w:rsidR="003F012A" w:rsidRPr="00132128" w:rsidRDefault="003F012A" w:rsidP="003F012A">
      <w:pPr>
        <w:pStyle w:val="Nagwek1"/>
        <w:numPr>
          <w:ilvl w:val="0"/>
          <w:numId w:val="14"/>
        </w:numPr>
        <w:tabs>
          <w:tab w:val="num" w:pos="360"/>
        </w:tabs>
        <w:rPr>
          <w:rFonts w:asciiTheme="minorHAnsi" w:hAnsiTheme="minorHAnsi" w:cs="Times New Roman"/>
          <w:sz w:val="20"/>
          <w:szCs w:val="20"/>
        </w:rPr>
      </w:pPr>
      <w:bookmarkStart w:id="19" w:name="_Toc203118155"/>
      <w:r w:rsidRPr="002901C0">
        <w:rPr>
          <w:rFonts w:asciiTheme="minorHAnsi" w:hAnsiTheme="minorHAnsi" w:cs="Times New Roman"/>
          <w:sz w:val="20"/>
          <w:szCs w:val="20"/>
        </w:rPr>
        <w:t>Zlecenia wewnętrzne (między jednostkami organizacyjnymi)</w:t>
      </w:r>
      <w:bookmarkEnd w:id="19"/>
    </w:p>
    <w:p w14:paraId="2E226A67"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Zlecenia wewnętrzne między jednostkami organizacyjnymi w oparciu o różne szablony formularzy zleceń.</w:t>
      </w:r>
    </w:p>
    <w:p w14:paraId="7958B812"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Powiadamianie osoby zlecającej o wykonaniu zlecenia.</w:t>
      </w:r>
    </w:p>
    <w:p w14:paraId="5B9A95C1"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Zlecenia barwień dodatkowych (np. immunohistochemia, histochemia itp.) wraz z kontrolą poprawności zlecenia (m.in. rodzaj preparatu wykonywany przez daną pracownię, której wystawia się zlecenie, dostępność barwienia w czasie, zgodność typu barwienia z typem badania). Zlecenie musi obejmować etap wyszukiwania bloczka parafinowego w archiwum, jeżeli bloczek został zarchiwizowany.</w:t>
      </w:r>
    </w:p>
    <w:p w14:paraId="546FF9AF"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lastRenderedPageBreak/>
        <w:t>Zlecenie barwienia dodatkowego musi obejmować etap wyszukiwania w archiwum wraz z prezentacją zlecenia na dedykowanej liście roboczej archiwisty, jeżeli bloczek, z którego zlecono barwienie dodatkowe został już umieszczony w archiwum.</w:t>
      </w:r>
    </w:p>
    <w:p w14:paraId="66CA8FFB"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Kontrola negatywna oraz kontrola pozytywna dla barwień dodatkowych: możliwość zdefiniowania dla każdego typu preparatu dodatkowego preparatu kontroli negatywnej oraz kontroli pozytywnej, które będą się automatycznie dodawać, przy wystawianiu zleceń barwień dodatkowych.</w:t>
      </w:r>
    </w:p>
    <w:p w14:paraId="04026F1F"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 xml:space="preserve">Możliwość wyboru zlecanego barwienia ze słownika. </w:t>
      </w:r>
    </w:p>
    <w:p w14:paraId="6C6DB10E"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Obsługa paneli barwień dodatkowych.</w:t>
      </w:r>
    </w:p>
    <w:p w14:paraId="472E5A26"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Możliwość ponownego zlecenia ostatnio zleconego zestawu barwień do kolejnego bloczka bez określania każdego barwienia z osobna.</w:t>
      </w:r>
    </w:p>
    <w:p w14:paraId="58454B94"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Obsługa zleceń dobierania (II rzutu) – dodatkowego dobierania materiału z pojemnika z utrwalonym materiałem tkankowym (np. formaliną) w celu uzyskania dodatkowych bloczków parafinowych z materiału tkankowego, z lokalizacji wskazanej przez zlecającego patomorfologa.  Dedykowana lista robocza archiwisty związana z obsługą zleceń dobierania i przekazywania materiału osobom zajmującym się pobieraniem materiału do kasetek histopatologicznych na stanowisku pobierania.</w:t>
      </w:r>
    </w:p>
    <w:p w14:paraId="75715C8E"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Zlecenia wypożyczenia bloczków i preparatów z archiwum (wewnętrzne, zewnętrzne, do innej jednostki organizacyjnej, na potrzeby konsultacji z innym ośrodkiem).</w:t>
      </w:r>
    </w:p>
    <w:p w14:paraId="18F8B417"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Zlecenia przebarwień preparatów.</w:t>
      </w:r>
    </w:p>
    <w:p w14:paraId="5CA85FE8" w14:textId="0E13E6B3" w:rsidR="003F012A" w:rsidRPr="007942C7" w:rsidRDefault="003F012A" w:rsidP="003F012A">
      <w:pPr>
        <w:pStyle w:val="Nagwek1"/>
        <w:numPr>
          <w:ilvl w:val="0"/>
          <w:numId w:val="14"/>
        </w:numPr>
        <w:tabs>
          <w:tab w:val="num" w:pos="360"/>
        </w:tabs>
        <w:rPr>
          <w:rFonts w:asciiTheme="minorHAnsi" w:hAnsiTheme="minorHAnsi" w:cs="Times New Roman"/>
          <w:sz w:val="20"/>
          <w:szCs w:val="20"/>
        </w:rPr>
      </w:pPr>
      <w:bookmarkStart w:id="20" w:name="_Toc203118156"/>
      <w:r w:rsidRPr="002901C0">
        <w:rPr>
          <w:rFonts w:asciiTheme="minorHAnsi" w:hAnsiTheme="minorHAnsi" w:cs="Times New Roman"/>
          <w:sz w:val="20"/>
          <w:szCs w:val="20"/>
        </w:rPr>
        <w:t>Raporty i statystyki</w:t>
      </w:r>
      <w:bookmarkEnd w:id="20"/>
    </w:p>
    <w:p w14:paraId="4274393F"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Wydruki ksiąg pracowni (osobno dla pracowni diagnostycznych i dla pracowni realizujących barwienia dodatkowe).</w:t>
      </w:r>
    </w:p>
    <w:p w14:paraId="7FC50A49"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Dla księgi pracowni diagnostycznej: kryteria wejściowe: data rejestracji od-do, jednostka organizacyjna, zlecający i oddział. Raport powinien zawierać datę wpisu, numer wpisu (księgi pracowni), dane pacjenta, dane lekarza kierującego, datę pobrania, dane zlecającego, badania, identyfikator rejestrującego.</w:t>
      </w:r>
    </w:p>
    <w:p w14:paraId="4528A202"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Dla księgi barwień dodatkowych: kryteria wejściowe: data rejestracji od-do, jednostka organizacyjna. Raport powinien zawierać datę wpisu, dane zleceniodawcy, numer wpisu (księgi pracowni), dane pacjenta, dane zlecającego barwienie, numer bloczka, zlecone barwienia, liczbę barwień, datę wydania preparatów.</w:t>
      </w:r>
    </w:p>
    <w:p w14:paraId="42DBFA92"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 xml:space="preserve">Wydruk księgi pracowni diagnostycznej - wg zarejestrowanych materiałów. </w:t>
      </w:r>
      <w:r w:rsidRPr="002901C0">
        <w:rPr>
          <w:rFonts w:cs="Times New Roman"/>
          <w:sz w:val="20"/>
          <w:szCs w:val="20"/>
        </w:rPr>
        <w:br/>
        <w:t>Kryteria wejściowe: data rejestracji od-do, jednostka organizacyjna. Raport powinien zawierać kolumny: datę przyjęcia materiału, numer wpisu (księgi pracowni), numer i rodzaj przyjętego materiału, pH materiału, dane pacjenta, dane zlecającego, identyfikator rejestrującego.</w:t>
      </w:r>
    </w:p>
    <w:p w14:paraId="0C2896B2"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Wydruk księgi pracowni diagnostycznej - wg zarejestrowanych badań (bloczków)</w:t>
      </w:r>
      <w:r w:rsidRPr="002901C0">
        <w:rPr>
          <w:rFonts w:cs="Times New Roman"/>
          <w:sz w:val="20"/>
          <w:szCs w:val="20"/>
        </w:rPr>
        <w:br/>
        <w:t>Kryteria wejściowe: data rejestracji od-do, jednostka organizacyjna. Raport powinien zawierać kolumny: datę rejestracji bloczka, numer wpisu (księgi pracowni), numer i rodzaj badania, dane pacjenta, dane zlecającego, identyfikator rejestrującego.</w:t>
      </w:r>
    </w:p>
    <w:p w14:paraId="0C29F479"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 xml:space="preserve">Raport statystyk pracowni diagnostycznej - badania wg miejsca powstania </w:t>
      </w:r>
      <w:r w:rsidRPr="002901C0">
        <w:rPr>
          <w:rFonts w:cs="Times New Roman"/>
          <w:sz w:val="20"/>
          <w:szCs w:val="20"/>
        </w:rPr>
        <w:br/>
        <w:t>Kryteria wejściowe: data rejestracji od-do, jednostka organizacyjna, zlecający, oddział zlecającego. Raport powinien zawierać kolumny: miejsce (stanowisko) rejestracji badania, identyfikator rejestrującego, rodzaj badania, liczbę zarejestrowanych badań.</w:t>
      </w:r>
    </w:p>
    <w:p w14:paraId="40947636"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statystyk pracowni diagnostycznej - bloczki zatopione wg miejsca</w:t>
      </w:r>
    </w:p>
    <w:p w14:paraId="1A87CE8F"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t>Kryteria wejściowe: data rejestracji od-do, jednostka organizacyjna, zlecający, oddział zlecającego. Raport powinien zawierać kolumny: miejsce (stanowisko) zatopienia, identyfikator zatapiającego, rodzaj badania, liczbę badań oznaczonych jako zatopione.</w:t>
      </w:r>
    </w:p>
    <w:p w14:paraId="670C0EBA"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księgi wypożyczeń wewnętrznych</w:t>
      </w:r>
    </w:p>
    <w:p w14:paraId="549DDA0C"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lastRenderedPageBreak/>
        <w:t>Kryteria wejściowe: jednostka organizacyjna, status wypożyczenia, typ wypożyczenia, data wypożyczenia od-do; Raport powinien zawierać kolumny: ID zlecenia, identyfikator wypożyczającego, datę wypożyczenia, dane pacjenta, numer przypadku, zakres wypożyczenia, identyfikator wydającego, datę zwrotu, status oraz typ wypożyczenia;</w:t>
      </w:r>
    </w:p>
    <w:p w14:paraId="46C2EE74"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księgi wypożyczeń zewnętrznych</w:t>
      </w:r>
    </w:p>
    <w:p w14:paraId="3F42A7CA"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t>Kryteria wejściowe: jednostka organizacyjna, status wypożyczenia, typ wypożyczenia, data wypożyczenia od-do; Raport powinien zawierać kolumny: ID zlecenia, datę wypożyczenia, dane pacjenta, numer przypadku, zakres wypożyczenia, identyfikator wydającego, datę zwrotu, status oraz typ wypożyczenia, wynik konsultacji, identyfikator lekarza odpowiedzialnego, zgodność;</w:t>
      </w:r>
    </w:p>
    <w:p w14:paraId="7B2BCD71"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zleceń barwień dodatkowych</w:t>
      </w:r>
    </w:p>
    <w:p w14:paraId="5A7558D1"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t>Kryteria wejściowe: data wykonania od-do, jednostka organizacyjna zlecająca, jednostka organizacyjna krojąca, jednostka organizacyjna barwiąca; Raport powinien zawierać kolumny: jednostka organizacyjna zlecająca, jednostka organizacyjna krojąca, jednostka organizacyjna barwiąca, liczba zleceń, liczba preparatów, czas wykonania z podziałem na minimalny, średni i maksymalny.</w:t>
      </w:r>
    </w:p>
    <w:p w14:paraId="62DD3200"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zleceń barwień dodatkowych wg osoby zlecającej</w:t>
      </w:r>
    </w:p>
    <w:p w14:paraId="5AD40F4D"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t>Kryteria wejściowe: osoba zlecająca, data wykonania od-do, jednostka organizacyjna zlecająca, jednostka organizacyjna krojąca, jednostka organizacyjna barwiąca; Raport powinien zawierać kolumny: osoba zlecająca, jednostka organizacyjna zlecająca, jednostka organizacyjna krojąca, jednostka organizacyjna barwiąca, liczba zleceń, liczba preparatów, czas wykonania z podziałem na minimalny, średni i maksymalny.</w:t>
      </w:r>
    </w:p>
    <w:p w14:paraId="145BECFE"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utylizacji materiałów.</w:t>
      </w:r>
    </w:p>
    <w:p w14:paraId="259F94F5"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t>Kryteria wejściowe: data utylizacji od-do, data zatwierdzenia od-do, stan utylizacji, jednostka organizacyjna wykonująca. Możliwość sortowania wg daty rejestracji, utylizacji lub zatwierdzenia. Raport powinien zawierać kolumny: numer materiału, typ materiału, opis materiału, profil utylizacji, data zatwierdzenia wyniku, data utylizacji, ilość dni od zatwierdzenia do utylizacji.</w:t>
      </w:r>
    </w:p>
    <w:p w14:paraId="762235D2"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ponownych skrojeń i barwień.</w:t>
      </w:r>
    </w:p>
    <w:p w14:paraId="1977A9AF"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t>Kryteria wejściowe: jednostka organizacyjna, data ponownego krojenia od-do. Raport powinien zawierać kolumny: numer bloczka, numer pierwotnego oraz ponowionego preparatu, typ barwienia, data pierwotnego krojenia, technik krojący pierwotny preparat, technik barwiący pierwotny preparat, czy wystąpiła kontrola jakości, data ponownego krojenia, technik krojący ponowiony preparat.</w:t>
      </w:r>
    </w:p>
    <w:p w14:paraId="1EB563BC"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usuniętych pakietów badań.</w:t>
      </w:r>
    </w:p>
    <w:p w14:paraId="2FBFEFE0"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t>Kryteria wejściowe: data rejestracji od-do, jednostka organizacyjna. Raport powinien zawierać kolumny: numer księgi pracowni, data rejestracji, identyfikator rejestrującego, data usunięcia, identyfikator usuwającego, zlecający, dane pacjenta.</w:t>
      </w:r>
    </w:p>
    <w:p w14:paraId="71623046"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anulowanych zleceń.</w:t>
      </w:r>
    </w:p>
    <w:p w14:paraId="5EE2EDB5"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t>Kryteria wejściowe: data zlecenia od-do, jednostka organizacyjna, przyczyna anulowania zlecenia. Raport powinien zawierać kolumny: data zlecenia, zlecający, numer obcy zlecenia, imię i nazwisko pacjenta, PESEL pacjenta, przyczyna anulowania zlecenia.</w:t>
      </w:r>
    </w:p>
    <w:p w14:paraId="42C61165"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listy diagnozujących, którzy wystąpili w okresie rozliczeniowym.</w:t>
      </w:r>
      <w:r w:rsidRPr="002901C0">
        <w:rPr>
          <w:rFonts w:cs="Times New Roman"/>
          <w:sz w:val="20"/>
          <w:szCs w:val="20"/>
        </w:rPr>
        <w:br/>
        <w:t>Kryteria wejściowe: data wykonania od-do, jednostka organizacyjna. Raport powinien zawierać kolumny: diagnozujący, skrót do raportu szczegółowego.</w:t>
      </w:r>
    </w:p>
    <w:p w14:paraId="439624F6"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 xml:space="preserve">Raport ilości badań dla diagnozujących. </w:t>
      </w:r>
    </w:p>
    <w:p w14:paraId="7214BFF7"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t>Kryteria wejściowe: diagnozujący, zlecający, data wykonania od-do, jednostka organizacyjna. Raport powinien zawierać kolumny: typ badania, liczba przypadków, liczba badań, liczba preparatów, cena netto, wartość netto, stawka VAT, wartość brutto. Wartości powinny być podsumowane.</w:t>
      </w:r>
    </w:p>
    <w:p w14:paraId="21155554"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ilości badań i listy pacjentów dla diagnozujących.</w:t>
      </w:r>
    </w:p>
    <w:p w14:paraId="4A772EE3"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lastRenderedPageBreak/>
        <w:t>Kryteria wejściowe: diagnozujący, zlecający, data wykonania od-do, jednostka organizacyjna. Raport powinien zawierać kolumny (pierwsza tabela - grupowanie typami badań i procedur): typ badania/procedury/preparatu, liczba przypadków, liczba badań, cena netto, wartość netto, stawka VAT, wartość brutto. Wartości powinny być podsumowane. Raport powinien zawierać kolumny (druga tabela - grupowanie pacjentami): numer księgi pracowni, dane pacjenta, zlecający, typ badania/procedury/preparatu, liczba badań, cena netto, wartość netto, stawka VAT, wartość brutto. Wartości powinny być podsumowane.</w:t>
      </w:r>
    </w:p>
    <w:p w14:paraId="594E9D38"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czasu wykonania badań (terminowości) dla wybranej grupy badań wyfiltrowanej wg możliwych parametrów (minimum rodzaj materiału, lokalizacja, lekarz kierujący, jednostka kierująca, lekarz diagnozujący. Raport powinien zawierać kolumny: data rejestracji, data wyniku (zatwierdzenia przypadku), numer zlecenia, id pacjenta, czas diagnostyki w dniach roboczych, status nowotworu złośliwego (tak/nie). Raport powinien zawierać w podsumowaniu czas diagnostyki: średni, minimalny, maksymalny oraz medianę.</w:t>
      </w:r>
    </w:p>
    <w:p w14:paraId="37F2569E"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dla diagnozującego – lista zlecających, którym diagnozował.</w:t>
      </w:r>
    </w:p>
    <w:p w14:paraId="66F1CD1A"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t>Kryteria wejściowe: diagnozujący, data wykonania od-do, jednostka organizacyjna.  Raport powinien zawierać kolumny: zlecającego, skrót do raportu szczegółowego.</w:t>
      </w:r>
    </w:p>
    <w:p w14:paraId="65565940"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 xml:space="preserve">Raport dla diagnozującego – przypadki niezakończone </w:t>
      </w:r>
    </w:p>
    <w:p w14:paraId="3CAAE14A"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t>Kryteria wejściowe: jednostka organizacyjna. Raport powinien zawierać kolumny: odpowiedzialny za przypadki, sumaryczna liczba niezakończonych przypadków, liczba przypadków oznaczonych do weryfikacji, liczba przypadków w statusie wyniku wstępnego, liczba przypadków oczekujących na podpis elektroniczny.</w:t>
      </w:r>
    </w:p>
    <w:p w14:paraId="0291A316"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czasu wykonania badań z podziałem na diagnozujących.</w:t>
      </w:r>
    </w:p>
    <w:p w14:paraId="282A363F"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t>Kryteria wejściowe: jednostka organizacyjna, data rejestracji przypadku. Raport powinien zawierać kolumny (pierwsza tabela): odpowiedzialny za przypadki, liczba wpisanych rozpoznań, czasy (minimalny, średni, maksymalny) od rejestracji do wpisania rozpoznania, liczba przypadków bez rozpoznania. Raport powinien zawierać kolumny (druga tabela): odpowiedzialny za przypadki, liczba wpisanych rozpoznań, czasy (minimalny, średni, maksymalny) od przekazania do diagnostyki do zatwierdzenia przypadku.</w:t>
      </w:r>
    </w:p>
    <w:p w14:paraId="766FCBA7"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listy lek. wykrawających, którzy wystąpili w okresie rozliczeniowym.</w:t>
      </w:r>
    </w:p>
    <w:p w14:paraId="39E4C26D"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t>Kryteria wejściowe: data wykonania od-do, jednostka organizacyjna. Raport powinien zawierać kolumny: wykrawający, skrót do raportu szczegółowego.</w:t>
      </w:r>
    </w:p>
    <w:p w14:paraId="180393B6"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 xml:space="preserve">Raport liczby badań dla lek. wykrawających. </w:t>
      </w:r>
    </w:p>
    <w:p w14:paraId="5C4664DD"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t>Kryteria wejściowe: wykrawający, zlecający, data wykonania od-do, jednostka organizacyjna. Raport powinien zawierać kolumny: typ badania, liczba przypadków, liczba badań, cena netto, wartość netto, stawka VAT, wartość brutto. Wartości brutto powinny być podsumowane.</w:t>
      </w:r>
    </w:p>
    <w:p w14:paraId="13985186"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liczby badań i listy pacjentów dla lek. wykrawających</w:t>
      </w:r>
    </w:p>
    <w:p w14:paraId="557C2FFC"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t>Kryteria wejściowe: wykrawający, zlecający, data wykonania od-do, jednostka organizacyjna. Raport powinien zawierać kolumny (pierwsza tabela - grupowanie typami badań i procedur): typ badania, liczba przypadków, liczba badań, cena netto, wartość netto, stawka VAT, wartość brutto. Wartości powinny być podsumowane. Raport powinien zawierać kolumny (druga tabela - grupowanie pacjentami): numer księgi pracowni, dane pacjenta, zlecający, typ badania, liczba badań, cena netto, wartość netto, stawka VAT, wartość brutto. Wartości powinny być podsumowane.</w:t>
      </w:r>
    </w:p>
    <w:p w14:paraId="1849BA21"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listy techników wykrawających, którzy wystąpili w okresie rozliczeniowym.</w:t>
      </w:r>
      <w:r w:rsidRPr="002901C0">
        <w:rPr>
          <w:rFonts w:cs="Times New Roman"/>
          <w:sz w:val="20"/>
          <w:szCs w:val="20"/>
        </w:rPr>
        <w:br/>
        <w:t>Kryteria wejściowe: data wykonania od-do, jednostka organizacyjna. Raport powinien zawierać kolumny: technik wykrawający, skrót do raportu szczegółowego.</w:t>
      </w:r>
    </w:p>
    <w:p w14:paraId="5F7646D3"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liczby badań dla techników wykrawających.</w:t>
      </w:r>
    </w:p>
    <w:p w14:paraId="5787E764"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lastRenderedPageBreak/>
        <w:t>Kryteria wejściowe: technik wykrawający, zlecający, data wykonania od-do, jednostka organizacyjna. Raport powinien zawierać kolumny: typ badania, liczba przypadków, liczba badań, cena netto, wartość netto, stawka VAT, wartość brutto. Wartości brutto powinny być podsumowane.</w:t>
      </w:r>
    </w:p>
    <w:p w14:paraId="13C4BFE5"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ilości badań i listy pacjentów dla techników wykrawających.</w:t>
      </w:r>
    </w:p>
    <w:p w14:paraId="7E02827D"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t>Kryteria wejściowe: technik wykrawający, zlecający, data wykonania od-do, jednostka organizacyjna. Raport powinien zawierać kolumny (pierwsza tabela - grupowanie typami badań i procedur): typ badania, liczba przypadków, liczba badań, cena netto, wartość netto, stawka VAT, wartość brutto. Wartości powinny być podsumowane. Raport powinien zawierać kolumny (druga tabela - grupowanie pacjentami): numer księgi pracowni, dane pacjenta, zlecający, typ badania, liczba badań, cena netto, wartość netto, stawka VAT, wartość brutto. Wartości powinny być podsumowane.</w:t>
      </w:r>
    </w:p>
    <w:p w14:paraId="4154EE7F"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listy techników zatapiających, którzy wystąpili w okresie rozliczeniowym.</w:t>
      </w:r>
    </w:p>
    <w:p w14:paraId="724E45FD"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t>Kryteria wejściowe: data wykonania od-do, jednostka organizacyjna. Raport powinien zawierać kolumny: technik zatapiający, skrót do raportu szczegółowego.</w:t>
      </w:r>
    </w:p>
    <w:p w14:paraId="3FE00288"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liczby badań dla techników zatapiających.</w:t>
      </w:r>
    </w:p>
    <w:p w14:paraId="0FCDEC68"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t>Kryteria wejściowe: technik zatapiający, zlecający, data wykonania od-do, jednostka organizacyjna. Raport powinien zawierać kolumny: typ badania, liczba przypadków, liczba badań, cena netto, wartość netto, stawka VAT, wartość brutto. Wartości brutto powinny być podsumowane.</w:t>
      </w:r>
    </w:p>
    <w:p w14:paraId="69F312D1"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liczby badań i listy pacjentów dla techników zatapiających.</w:t>
      </w:r>
    </w:p>
    <w:p w14:paraId="2D25CF3E"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t>Kryteria wejściowe: technik zatapiający, zlecający, data wykonania od-do, jednostka organizacyjna. Raport powinien zawierać kolumny (pierwsza tabela - grupowanie typami badań i procedur): typ badania, liczba przypadków, liczba badań, cena netto, wartość netto, stawka VAT, wartość brutto. Wartości powinny być podsumowane. Raport powinien zawierać kolumny (druga tabela - grupowanie pacjentami): numer księgi pracowni, dane pacjenta, zlecający, typ badania, liczba badań, cena netto, wartość netto, stawka VAT, wartość brutto. Wartości powinny być podsumowane.</w:t>
      </w:r>
    </w:p>
    <w:p w14:paraId="1E8C45E8"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listy techników krojących, którzy wystąpili w okresie rozliczeniowym.</w:t>
      </w:r>
      <w:r w:rsidRPr="002901C0">
        <w:rPr>
          <w:rFonts w:cs="Times New Roman"/>
          <w:sz w:val="20"/>
          <w:szCs w:val="20"/>
        </w:rPr>
        <w:br/>
        <w:t>Kryteria wejściowe: data wykonania od-do, jednostka organizacyjna. Raport powinien zawierać kolumny: technik krojący, skrót do raportu szczegółowego.</w:t>
      </w:r>
    </w:p>
    <w:p w14:paraId="06629A98"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liczby badań dla techników krojących.</w:t>
      </w:r>
    </w:p>
    <w:p w14:paraId="0FD16D5F"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t>Kryteria wejściowe: technik krojący, zlecający, data wykonania od-do, jednostka organizacyjna. Raport powinien zawierać kolumny: typ badania, liczba przypadków, liczba badań, cena netto, wartość netto, stawka VAT, wartość brutto. Wartości brutto powinny być podsumowane.</w:t>
      </w:r>
    </w:p>
    <w:p w14:paraId="705D992B"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liczby badań i listy pacjentów dla techników krojących.</w:t>
      </w:r>
    </w:p>
    <w:p w14:paraId="51CA07A6"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t>Kryteria wejściowe: technik krojący, zlecający, data wykonania od-do, jednostka organizacyjna. Raport powinien zawierać kolumny: typ badania, liczba przypadków, liczba badań, cena netto, wartość netto, stawka VAT, wartość brutto. Wartości brutto powinny być podsumowane.</w:t>
      </w:r>
    </w:p>
    <w:p w14:paraId="4E943CE7"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listy techników barwiących, którzy wystąpili w okresie rozliczeniowym.</w:t>
      </w:r>
      <w:r w:rsidRPr="002901C0">
        <w:rPr>
          <w:rFonts w:cs="Times New Roman"/>
          <w:sz w:val="20"/>
          <w:szCs w:val="20"/>
        </w:rPr>
        <w:br/>
        <w:t>Kryteria wejściowe: data wykonania od-do, jednostka organizacyjna. Raport powinien zawierać kolumny: technik barwiący, skrót do raportu szczegółowego</w:t>
      </w:r>
    </w:p>
    <w:p w14:paraId="27F13C57"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liczby badań dla techników barwiących.</w:t>
      </w:r>
    </w:p>
    <w:p w14:paraId="6CA4A7F3"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t>Kryteria wejściowe: technik barwiący, zlecający, data wykonania od-do, jednostka organizacyjna. Raport powinien zawierać kolumny: typ badania, liczba przypadków, liczba badań, cena netto, wartość netto, stawka VAT, wartość brutto. Wartości brutto powinny być podsumowane.</w:t>
      </w:r>
    </w:p>
    <w:p w14:paraId="03CC0706"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liczby badań i listy pacjentów dla techników barwiących.</w:t>
      </w:r>
    </w:p>
    <w:p w14:paraId="45361A51"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t xml:space="preserve">Kryteria wejściowe: technik barwiący, zlecający, data wykonania od-do, jednostka organizacyjna. Raport powinien zawierać kolumny (pierwsza tabela - grupowanie typami badań i procedur): typ badania, liczba przypadków, liczba badań, cena netto, wartość netto, stawka VAT, wartość brutto. Wartości powinny być podsumowane. Raport powinien zawierać kolumny (druga tabela - </w:t>
      </w:r>
      <w:r w:rsidRPr="002901C0">
        <w:rPr>
          <w:rFonts w:cs="Times New Roman"/>
          <w:sz w:val="20"/>
          <w:szCs w:val="20"/>
        </w:rPr>
        <w:lastRenderedPageBreak/>
        <w:t>grupowanie pacjentami): numer księgi pracowni, dane pacjenta, zlecający, typ badania, liczba badań, cena netto, wartość netto, stawka VAT, wartość brutto. Wartości powinny być podsumowane.</w:t>
      </w:r>
    </w:p>
    <w:p w14:paraId="479C648D"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wykonań całego Zakładu wg kosztów procedur</w:t>
      </w:r>
    </w:p>
    <w:p w14:paraId="55CA47DE"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t>Kryteria wejściowe: data wykonania od-do, jednostka organizacyjna. Raport powinien zawierać kod procedury (badania, barwienia), opis procedury, liczbę przypadków, w których pojawiła się procedura, liczbę wykonanych procedur, koszt procedury. Wartości powinny być podsumowane.</w:t>
      </w:r>
    </w:p>
    <w:p w14:paraId="4C33F6E6"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liczby badań dla techników na poszczególnych etapach procesu diagnostycznego</w:t>
      </w:r>
    </w:p>
    <w:p w14:paraId="0093BAF0"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t>Kryteria wejściowe: data wykonania od-do, grupa pracowników. Raport powinien zawierać wykaz pracowników z liczbą wykonanych etapów, jednostkową wartość punktową, łączną liczbę uzyskanych punktów. Dane całościowe i cząstkowe (poszczególne etapy) powinny być prezentowane dodatkowo w postaci wykresów.</w:t>
      </w:r>
    </w:p>
    <w:p w14:paraId="3E773373"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liczby badań wykonanych zbiorczo na poszczególnych etapach procesu diagnostycznego w trybie ciągłym w czasie trwania pracy z generowaniem wykresów lub zbiorczo w wybranym okresie.</w:t>
      </w:r>
    </w:p>
    <w:p w14:paraId="7DFD8756"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liczby wykonanych badań w całej pracowni z podziałem na stawki rozliczeniowe ze zlecającymi.</w:t>
      </w:r>
    </w:p>
    <w:p w14:paraId="023DDB44"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statystyk wpisanych rozpoznań.</w:t>
      </w:r>
    </w:p>
    <w:p w14:paraId="1A117E45"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t>Kryteria wejściowe: data wykonania od-do, jednostka organizacyjna. Raport powinien zawierać kolumny: identyfikator wpisującego, liczbę wpisanych rozpoznań, liczbę przypadków, liczbę znaków dodanych i usuniętych wraz z ich sumą, średnią długość rozpoznania</w:t>
      </w:r>
    </w:p>
    <w:p w14:paraId="2C25EA3F"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statystyk wpisanych opisów makroskopowych.</w:t>
      </w:r>
    </w:p>
    <w:p w14:paraId="459840D0"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t>Kryteria wejściowe: data wykonania od-do, jednostka organizacyjna. Raport powinien zawierać kolumny: identyfikator wpisującego, liczbę wpisanych opisów, liczbę przypadków, liczbę znaków dodanych i usuniętych wraz z ich sumą, średnią długość opisu.</w:t>
      </w:r>
    </w:p>
    <w:p w14:paraId="7CFB41CD"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listy zlecających, którzy wystąpili w okresie rozliczeniowym.</w:t>
      </w:r>
      <w:r w:rsidRPr="002901C0">
        <w:rPr>
          <w:rFonts w:cs="Times New Roman"/>
          <w:sz w:val="20"/>
          <w:szCs w:val="20"/>
        </w:rPr>
        <w:br/>
        <w:t>Kryteria wejściowe: data wykonania od-do, jednostka organizacyjna. Raport powinien zawierać kolumny: zlecający (oddział), skrót do raportu szczegółowego.</w:t>
      </w:r>
    </w:p>
    <w:p w14:paraId="4E18584C"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liczby badań dla zlecającego (z możliwością ograniczenia kryteriów do oddziału).</w:t>
      </w:r>
    </w:p>
    <w:p w14:paraId="17003AFF"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t>Kryteria wejściowe: zlecający, oddział, data wykonania od-do, jednostka organizacyjna. Raport powinien zawierać kolumny: kod procedury (badania, barwienia), opis procedury, liczbę przypadków, w których pojawiła się procedura, liczbę wykonanych procedur, cenę netto, wartość netto, stawkę VAT, wartość brutto, podsumowanie wartości wszystkich wykonanych procedur.</w:t>
      </w:r>
    </w:p>
    <w:p w14:paraId="7EE404E0"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liczby badań i listy pacjentów dla zlecającego (z możliwością ograniczenia kryteriów do oddziału).</w:t>
      </w:r>
    </w:p>
    <w:p w14:paraId="0C9C0714"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t>Kryteria wejściowe: zlecający, data wykonania od-do, jednostka organizacyjna. Raport powinien zawierać kolumny (pierwsza tabela - grupowanie typami badań i procedur): kod procedury (badania, barwienia), opis procedury, liczbę przypadków, w których pojawiła się procedura, liczbę wykonanych procedur, cenę netto, wartość netto, stawkę VAT, wartość brutto. Wartości powinny być podsumowane. Raport powinien zawierać kolumny (druga tabela - grupowanie pacjentami): numer księgi pracowni, dane pacjenta, zlecający, typ procedury, liczba procedur. Wartości powinny być podsumowane.</w:t>
      </w:r>
    </w:p>
    <w:p w14:paraId="58C84DED"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liczby badań dla zlecającego – jedna lista z podziałem na jednostki zlecające.</w:t>
      </w:r>
      <w:r w:rsidRPr="002901C0">
        <w:rPr>
          <w:rFonts w:cs="Times New Roman"/>
          <w:sz w:val="20"/>
          <w:szCs w:val="20"/>
        </w:rPr>
        <w:br/>
        <w:t>Kryteria wejściowe: zlecający, data wykonania od-do, jednostka organizacyjna. Raport powinien zawierać kolumny: kod procedury (badania, barwienia), opis procedury, liczbę przypadków, w których pojawiła się procedura, liczbę wykonanych procedur, cenę netto, wartość netto, stawkę VAT, wartość brutto, podsumowanie wartości wszystkich wykonanych procedur. Raport powinien pokazywać dane pogrupowane wg oddziału zlecającego</w:t>
      </w:r>
    </w:p>
    <w:p w14:paraId="176257C4"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liczby wykonanych badań w targecie pilotażu rozliczeń (cały zakład)</w:t>
      </w:r>
    </w:p>
    <w:p w14:paraId="32CDA570"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lastRenderedPageBreak/>
        <w:t>Kryteria wejściowe: jednostka organizacyjna, data wykonania od-do; Raport powinien zawierać kolumny: kod procedury, opis procedury, liczba przypadków, liczba procedur, cenę netto, wartość netto, stawkę VAT, wartość brutto, podsumowanie wartości wszystkich wykonanych procedur.</w:t>
      </w:r>
    </w:p>
    <w:p w14:paraId="16508C1D"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liczby badań z podziałem na topografię (np. do statystyk do rozliczeń z NFZ).</w:t>
      </w:r>
      <w:r w:rsidRPr="002901C0">
        <w:rPr>
          <w:rFonts w:cs="Times New Roman"/>
          <w:sz w:val="20"/>
          <w:szCs w:val="20"/>
        </w:rPr>
        <w:br/>
        <w:t>Kryteria wejściowe: zlecający, oddział, data wykonania od-do, jednostka organizacyjna. Raport powinien zawierać kolumny: zlecający (oddział), typ procedury (badania), topografia, liczba przypadków, liczba procedur.</w:t>
      </w:r>
    </w:p>
    <w:p w14:paraId="2B1BE085"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zatwierdzonych badań wg osoby rejestrującej.</w:t>
      </w:r>
    </w:p>
    <w:p w14:paraId="678119B1"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t>Kryteria wejściowe: data wykonania od-do, jednostka organizacyjna. Raport powinien zawierać kolumny: identyfikator rejestrującego, typ badania, liczba przypadków.</w:t>
      </w:r>
    </w:p>
    <w:p w14:paraId="5EC39129"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ilości wewnętrznych (wzajemnych) konsultacji</w:t>
      </w:r>
    </w:p>
    <w:p w14:paraId="0FA4C763"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t>Kryteria wejściowe: Jednostka organizacyjna, data wykonania od-do. Raport powinien zawierać kolumny: Diagnozujący, Diagnozujący 2, Konsultujący, liczba przypadków, liczba rozpoznań, liczba procedur, liczba preparatów.</w:t>
      </w:r>
    </w:p>
    <w:p w14:paraId="3F81CD3F"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Raport księgi wewnętrznych (wzajemnych) konsultacji</w:t>
      </w:r>
    </w:p>
    <w:p w14:paraId="71ABD123" w14:textId="77777777" w:rsidR="003F012A" w:rsidRPr="002901C0" w:rsidRDefault="003F012A" w:rsidP="003F012A">
      <w:pPr>
        <w:pStyle w:val="Akapitzlist"/>
        <w:ind w:left="567"/>
        <w:jc w:val="both"/>
        <w:rPr>
          <w:rFonts w:cs="Times New Roman"/>
          <w:sz w:val="20"/>
          <w:szCs w:val="20"/>
        </w:rPr>
      </w:pPr>
      <w:r w:rsidRPr="002901C0">
        <w:rPr>
          <w:rFonts w:cs="Times New Roman"/>
          <w:sz w:val="20"/>
          <w:szCs w:val="20"/>
        </w:rPr>
        <w:t>Kryteria wejściowe: Jednostka organizacyjna, data wykonania od-do. Raport powinien zawierać kolumny: Numer przypadku, data zatwierdzenia wyniku, Diagnozujący, Diagnozujący 2, Konsultujący, liczba rozpoznań, liczba procedur, liczba preparatów.</w:t>
      </w:r>
    </w:p>
    <w:p w14:paraId="67831117"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Szczegółowy raport finansowy wykonanych wszystkich procedur medycznych w zadanym okresie z eksportem do pliku CSV, z podziałem na cel rozliczenia (m.in. Zlecający, Diagnozujący, Diagnozujący 2, Konsultujący, Lek. wykrawający, Technik wykrawający).</w:t>
      </w:r>
    </w:p>
    <w:p w14:paraId="2A33966B"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System umożliwia tworzenie nowych raportów.</w:t>
      </w:r>
    </w:p>
    <w:p w14:paraId="181E5267"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Możliwość przygotowywania innych raportów zgodnie z potrzebami Zamawiającego przez serwis Wykonawcy. Przygotowywanie innych raportów zgodnie z potrzebami Zamawiającego będzie odbywać się w ramach zadeklarowanych w zamówieniu roboczogodzin pracy programisty. Po przekroczeniu zadeklarowanej puli roboczogodzin Wykonawca deklaruje gotowość do wykonania serwisowych usług płatnych, wybiegających ponad liczbę godzin pracy programisty zadeklarowanych w zamówieniu, przedstawiając ofertę wykonania prac.</w:t>
      </w:r>
    </w:p>
    <w:p w14:paraId="5E4BF07D"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Możliwość eksportu raportów do plików Excel XML (lub CSV) oraz PDF.</w:t>
      </w:r>
    </w:p>
    <w:p w14:paraId="5265786D" w14:textId="1CD58476" w:rsidR="003F012A" w:rsidRPr="007942C7" w:rsidRDefault="003F012A" w:rsidP="003F012A">
      <w:pPr>
        <w:pStyle w:val="Nagwek1"/>
        <w:numPr>
          <w:ilvl w:val="0"/>
          <w:numId w:val="14"/>
        </w:numPr>
        <w:tabs>
          <w:tab w:val="num" w:pos="360"/>
        </w:tabs>
        <w:rPr>
          <w:rFonts w:asciiTheme="minorHAnsi" w:hAnsiTheme="minorHAnsi" w:cs="Times New Roman"/>
          <w:sz w:val="20"/>
          <w:szCs w:val="20"/>
        </w:rPr>
      </w:pPr>
      <w:bookmarkStart w:id="21" w:name="_Toc203118157"/>
      <w:r w:rsidRPr="002901C0">
        <w:rPr>
          <w:rFonts w:asciiTheme="minorHAnsi" w:hAnsiTheme="minorHAnsi" w:cs="Times New Roman"/>
          <w:sz w:val="20"/>
          <w:szCs w:val="20"/>
        </w:rPr>
        <w:t>Finanse</w:t>
      </w:r>
      <w:bookmarkEnd w:id="21"/>
    </w:p>
    <w:p w14:paraId="19C9CDCF"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Cenniki rozliczeniowe dla: zlecających, diagnozujących, konsultujących, lekarzy wykrawających, techników: wykrawających, zatapiających, krojących i barwiących, rezydentów (wraz z uwzględnieniem statusu rezydenta w regułach cennikowych dla współdiagnozujących). Cennik procedur kosztowych. Cenniki tworzone wg zdefiniowanych przez Zamawiającego reguł, a rozliczenie następuje wg najlepiej dopasowanej reguły. Dopasowanie reguły powinno być oparte o kryteria: zleceniodawca, typ badania, typ preparatu, grupa typów preparatów, tryb przyjęcia, topografia, technik wykrawający, lekarz wykrawający, technik zatapiający, technik krojący, technik barwiący, diagnozujący (w tym, czy jest rezydentem), diagnozujący 2, konsultujący, jednostka org. (wykonująca), ID przypadku, terminowości przypadku, typów wykrytych schorzeń definiowanych wg kodów słownikowych (np. ICD10, ICD-O3), paneli barwień dodatkowych (np. panel receptorów: Ki-67, HER-2, Progesteron, Estrogen). Dopasowanie reguły powinno móc być modyfikowane mnożnikiem wagi.</w:t>
      </w:r>
    </w:p>
    <w:p w14:paraId="6DE93A5D"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Możliwość tworzenia i modyfikacji przez Zamawiającego cenników.</w:t>
      </w:r>
    </w:p>
    <w:p w14:paraId="2770FC85"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Możliwość wyboru stawki VAT oraz stawki zwolnionej z podstawą zwolnienia.</w:t>
      </w:r>
    </w:p>
    <w:p w14:paraId="34944206"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 xml:space="preserve">Możliwość rozliczeń przedziałami poprzez określanie kwoty w zależności od zakresu ilości obiektów (bloczków, preparatów) w przypadku, materiale, lokalizacji lub badaniu. </w:t>
      </w:r>
    </w:p>
    <w:p w14:paraId="36B5B380"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lastRenderedPageBreak/>
        <w:t>Generowanie dokumentów do rozliczeń dla kontrahentów (rachunków / faktur VAT / faktur VAT korekta), w oparciu o ewidencję procedur w systemie oraz przypisany dla kontrahenta cennik.</w:t>
      </w:r>
    </w:p>
    <w:p w14:paraId="73B40EBD"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Możliwość wystawienia faktury dla zlecającego na podstawie zarejestrowanych w systemie badań. Możliwość ręcznego dodania pozycji do faktury. Możliwość prostego wystawienia faktury za pojedynczy przypadek rozliczany na bieżąco, np. badanie prywatne.</w:t>
      </w:r>
    </w:p>
    <w:p w14:paraId="5DA64F4F"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Możliwość wystawienia faktury/rachunku dla Zakładu przez personel na podstawie zarejestrowanych w systemie badań. Możliwość ręcznego określenia numeru faktury zgodnie z numeracją danego wystawcy. Możliwość ręcznego dodania pozycji do faktury.</w:t>
      </w:r>
    </w:p>
    <w:p w14:paraId="503D840E"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Możliwość automatycznego dodawania i naliczania do każdego przypadku dodatkowych pozycji wycenionych w cenniku, w zależności od faktycznego wykonania danej procedury medycznej.</w:t>
      </w:r>
    </w:p>
    <w:p w14:paraId="62FFFEAD"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Możliwość korekty ceny badania po autoryzacji i wydruku badania.</w:t>
      </w:r>
    </w:p>
    <w:p w14:paraId="11DA1AC7"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Możliwość podglądu prognozowanej ceny za przypadek w każdym momencie od wykonania pierwszych czynności technicznych na badanym materiale.</w:t>
      </w:r>
    </w:p>
    <w:p w14:paraId="7741F54B"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Generowanie dokumentów do rozliczeń dla personelu (rachunków / faktur VAT / faktur VAT korekta), w oparciu o ewidencję procedur w systemie oraz przypisany do personelu cennik. Możliwość ręcznego dodania pozycji rozliczenia przez uprawnionego użytkownika dla danej osoby personelu.</w:t>
      </w:r>
    </w:p>
    <w:p w14:paraId="386C3682"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Możliwość zdefiniowania procedur medycznych „rozliczeniowych” niewymagających wpisania rozpoznania.</w:t>
      </w:r>
    </w:p>
    <w:p w14:paraId="2A73E13C"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Możliwość rozliczania w dowolnej walucie oraz w punktach przeliczanych następnie na walutę zgodnie z konfiguracją danego zlecającego lub personelu.</w:t>
      </w:r>
    </w:p>
    <w:p w14:paraId="3A9483A1" w14:textId="3DFF81FE"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Możliwość rozliczania przypadku w momencie zatwierdzenia lub na bieżąco w zależności od celu względem</w:t>
      </w:r>
      <w:r w:rsidR="00C66DAF">
        <w:rPr>
          <w:rFonts w:cs="Times New Roman"/>
          <w:sz w:val="20"/>
          <w:szCs w:val="20"/>
        </w:rPr>
        <w:t>,</w:t>
      </w:r>
      <w:r w:rsidRPr="002901C0">
        <w:rPr>
          <w:rFonts w:cs="Times New Roman"/>
          <w:sz w:val="20"/>
          <w:szCs w:val="20"/>
        </w:rPr>
        <w:t xml:space="preserve"> którego następuje rozliczenie (np. zlecający lub personel).</w:t>
      </w:r>
    </w:p>
    <w:p w14:paraId="6E8A803E"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Profile cennika o różnych regułach cennikowych i cenach. Profile mogą być przypisywane do wersji danego zleceniodawcy i wersji personelu.</w:t>
      </w:r>
    </w:p>
    <w:p w14:paraId="5266B2AC"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Automatyczne obliczanie rentowności danego przypadku na podstawie ceny za wykonywane badania, koszt procedur i koszty osobowe.</w:t>
      </w:r>
    </w:p>
    <w:p w14:paraId="48E15CC1"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Zamykanie miesięcy księgowych ręcznie i/lub automatycznie w uzgodnionym dniu miesiąca.</w:t>
      </w:r>
    </w:p>
    <w:p w14:paraId="6D2DF024" w14:textId="7C57FCEC" w:rsidR="003F012A" w:rsidRPr="007942C7" w:rsidRDefault="003F012A" w:rsidP="003F012A">
      <w:pPr>
        <w:pStyle w:val="Nagwek1"/>
        <w:numPr>
          <w:ilvl w:val="0"/>
          <w:numId w:val="14"/>
        </w:numPr>
        <w:tabs>
          <w:tab w:val="num" w:pos="360"/>
        </w:tabs>
        <w:rPr>
          <w:rFonts w:asciiTheme="minorHAnsi" w:hAnsiTheme="minorHAnsi" w:cs="Times New Roman"/>
          <w:sz w:val="20"/>
          <w:szCs w:val="20"/>
        </w:rPr>
      </w:pPr>
      <w:bookmarkStart w:id="22" w:name="_Toc203118158"/>
      <w:r w:rsidRPr="002901C0">
        <w:rPr>
          <w:rFonts w:asciiTheme="minorHAnsi" w:hAnsiTheme="minorHAnsi" w:cs="Times New Roman"/>
          <w:sz w:val="20"/>
          <w:szCs w:val="20"/>
        </w:rPr>
        <w:t>Prezentacja wyników badań dla podmiotów zewnętrznych (zlecających)</w:t>
      </w:r>
      <w:bookmarkEnd w:id="22"/>
      <w:r w:rsidRPr="002901C0">
        <w:rPr>
          <w:rFonts w:asciiTheme="minorHAnsi" w:hAnsiTheme="minorHAnsi" w:cs="Times New Roman"/>
          <w:sz w:val="20"/>
          <w:szCs w:val="20"/>
        </w:rPr>
        <w:t xml:space="preserve"> </w:t>
      </w:r>
    </w:p>
    <w:p w14:paraId="1662991B"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Możliwość powiadamiania zleceniodawcy o dostępności wyniku w systemie poprzez automatyczną wysyłkę e-mail z komunikatem, po autoryzacji wyniku, jeżeli dla danego kontrahenta zostanie zdefiniowany adres e-mail.</w:t>
      </w:r>
    </w:p>
    <w:p w14:paraId="5F98563B"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Możliwość udostępnienia wyników w trybie „tylko do odczytu” dla uprawnionych użytkowników zewnętrznych poprzez dedykowany serwis internetowy. Dostęp zabezpieczony kombinacją login / hasło nadawany przez Zamawiającego uprawnia do odczytu własnych zleceń kontrahenta oraz pobrania wyniku w formacie PDF oraz PIK HL7-CDA, także w formacie podpisanym cyfrowo. Możliwość hurtowego pobierania wyników w plikach PDF w postaci archiwum ZIP, w tym zabezpieczonym hasłem.</w:t>
      </w:r>
    </w:p>
    <w:p w14:paraId="723102D3"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Możliwość wydruku wyniku/wyników w formacie papierowym, także podpisanego elektronicznie, w celu wydania / wysłania pocztą / faxem do kontrahenta. Możliwość hurtowego wydruku wyników dla wybranego kontrahenta za dany okres.</w:t>
      </w:r>
    </w:p>
    <w:p w14:paraId="5D466059"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Możliwość automatycznej wysyłki pocztą e-mail dobowego raportu zawierającego listę przyjętych skierowań oraz zatwierdzonych przypadków w postaci załącznika ZIP zabezpieczonego hasłem. Raport powinien opcjonalnie zawierać również wyniki w postaci podpisanych cyfrowo plików PDF. Możliwość odrębnej konfiguracji adresu wysyłkowego oraz zawartości załącznika ZIP dla zlecającego i/lub każdego z jego oddziałów.</w:t>
      </w:r>
    </w:p>
    <w:p w14:paraId="27933CC3" w14:textId="605867CF" w:rsidR="003F012A" w:rsidRPr="007942C7" w:rsidRDefault="003F012A" w:rsidP="007942C7">
      <w:pPr>
        <w:pStyle w:val="Nagwek1"/>
        <w:numPr>
          <w:ilvl w:val="0"/>
          <w:numId w:val="14"/>
        </w:numPr>
        <w:tabs>
          <w:tab w:val="num" w:pos="360"/>
        </w:tabs>
        <w:ind w:left="567"/>
        <w:rPr>
          <w:rFonts w:asciiTheme="minorHAnsi" w:hAnsiTheme="minorHAnsi" w:cs="Times New Roman"/>
          <w:sz w:val="20"/>
          <w:szCs w:val="20"/>
        </w:rPr>
      </w:pPr>
      <w:bookmarkStart w:id="23" w:name="_Toc203118159"/>
      <w:r w:rsidRPr="002901C0">
        <w:rPr>
          <w:rFonts w:asciiTheme="minorHAnsi" w:hAnsiTheme="minorHAnsi" w:cs="Times New Roman"/>
          <w:sz w:val="20"/>
          <w:szCs w:val="20"/>
        </w:rPr>
        <w:lastRenderedPageBreak/>
        <w:t>Współpraca z urządzeniami/sprzętem laboratoryjnym</w:t>
      </w:r>
      <w:bookmarkEnd w:id="23"/>
    </w:p>
    <w:p w14:paraId="568ECE0B" w14:textId="77777777" w:rsidR="003F012A" w:rsidRPr="002901C0" w:rsidRDefault="003F012A" w:rsidP="003F012A">
      <w:pPr>
        <w:pStyle w:val="Akapitzlist"/>
        <w:numPr>
          <w:ilvl w:val="1"/>
          <w:numId w:val="14"/>
        </w:numPr>
        <w:spacing w:after="120" w:line="276" w:lineRule="auto"/>
        <w:ind w:left="567"/>
        <w:rPr>
          <w:rFonts w:cs="Times New Roman"/>
          <w:sz w:val="20"/>
          <w:szCs w:val="20"/>
        </w:rPr>
      </w:pPr>
      <w:r w:rsidRPr="002901C0">
        <w:rPr>
          <w:rFonts w:cs="Times New Roman"/>
          <w:sz w:val="20"/>
          <w:szCs w:val="20"/>
        </w:rPr>
        <w:t xml:space="preserve">Współpraca </w:t>
      </w:r>
      <w:bookmarkStart w:id="24" w:name="_Hlk198726357"/>
      <w:bookmarkStart w:id="25" w:name="_Hlk198726379"/>
      <w:r w:rsidRPr="002901C0">
        <w:rPr>
          <w:rFonts w:cs="Times New Roman"/>
          <w:sz w:val="20"/>
          <w:szCs w:val="20"/>
        </w:rPr>
        <w:t>z systemami do przeglądania cyfrowych skanów preparatów histologicznych</w:t>
      </w:r>
      <w:bookmarkEnd w:id="24"/>
    </w:p>
    <w:bookmarkEnd w:id="25"/>
    <w:p w14:paraId="3F836798"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System musi umożliwiać integrację z systemami do przeglądania cyfrowych skanów preparatów histologicznych.</w:t>
      </w:r>
    </w:p>
    <w:p w14:paraId="2F2A05C4"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Integracja musi umożliwiać wyświetlanie skanu preparatu w oferowanym systemie w kontekście tego preparatu, bez konieczności powtórnego logowania się użytkownika i stosowania dodatkowych aplikacji.</w:t>
      </w:r>
    </w:p>
    <w:p w14:paraId="7A2BF7FB"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Obsługa zleceń skanowania preparatów z obsługą komentarzy i wyboru powiększenia (o ile system zintegrowany posiada taką możliwość). Opcjonalna notyfikacja zlecającego po uzyskaniu dostępności skanu ze skanera.</w:t>
      </w:r>
    </w:p>
    <w:p w14:paraId="03D558D7"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Obsługa miniaturek (thumbnails) zeskanowanych preparatów prezentowanych w kontekście preparatów w oferowanym systemie.</w:t>
      </w:r>
    </w:p>
    <w:p w14:paraId="2ABDDEF0"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Obsługa zapobiegania usunięciu istotnych („ważnych”) skanów, a także automatyczne usuwanie skanów po określonym czasie od autoryzacji przypadku – o ile system zintegrowany posiada taką możliwość.</w:t>
      </w:r>
    </w:p>
    <w:p w14:paraId="511E64D1"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Automatyczne umieszczanie skanów (oparte o kod kreskowy w polu opisowym preparatu) w kontekście odpowiedniego przypadku, nawet gdy diagnozujący nie wystawi zlecenia skanowania – o ile system zintegrowany posiada taką możliwość.</w:t>
      </w:r>
    </w:p>
    <w:p w14:paraId="160E98A5"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Powiadomienie osoby zlecającej skan poprzez komunikat systemowy po uzyskaniu dostępności skanu ze skanera (jeżeli w zleceniu skanowania osoba zlecająca oznaczy taką opcję).</w:t>
      </w:r>
    </w:p>
    <w:p w14:paraId="4902A8F0"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Możliwość oznaczenia przypadku jako w pełni cyfrowego (Digital Pathology) wymagającego, aby każdy preparat posiadał skan.</w:t>
      </w:r>
    </w:p>
    <w:p w14:paraId="0617E578"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Możliwość automatycznej kompletacji preparatów przez system skanowania oraz przekazania ich do diagnozującego (wskazanego na etapie rejestracji przypadku lub wykrawania) po zeskanowaniu wszystkich preparatów z danego przypadku.</w:t>
      </w:r>
    </w:p>
    <w:p w14:paraId="5DCADDBF" w14:textId="77777777" w:rsidR="003F012A" w:rsidRPr="0038735E" w:rsidRDefault="003F012A" w:rsidP="003F012A">
      <w:pPr>
        <w:pStyle w:val="Akapitzlist"/>
        <w:numPr>
          <w:ilvl w:val="2"/>
          <w:numId w:val="14"/>
        </w:numPr>
        <w:spacing w:after="120" w:line="276" w:lineRule="auto"/>
        <w:ind w:left="1134"/>
        <w:jc w:val="both"/>
        <w:rPr>
          <w:rFonts w:cs="Times New Roman"/>
          <w:sz w:val="20"/>
          <w:szCs w:val="20"/>
        </w:rPr>
      </w:pPr>
      <w:r w:rsidRPr="0038735E">
        <w:rPr>
          <w:rFonts w:cs="Times New Roman"/>
          <w:sz w:val="20"/>
          <w:szCs w:val="20"/>
        </w:rPr>
        <w:t>Funkcjonalność nie jest przedmiotem niniejszego zamówienia zostanie uruchomiona na rzecz Zamawiającego w ramach odrębnego postępowania.</w:t>
      </w:r>
    </w:p>
    <w:p w14:paraId="4AA9C838" w14:textId="77777777" w:rsidR="003F012A" w:rsidRPr="0038735E" w:rsidRDefault="003F012A" w:rsidP="003F012A">
      <w:pPr>
        <w:pStyle w:val="Akapitzlist"/>
        <w:numPr>
          <w:ilvl w:val="1"/>
          <w:numId w:val="14"/>
        </w:numPr>
        <w:spacing w:after="120" w:line="276" w:lineRule="auto"/>
        <w:ind w:left="567"/>
        <w:jc w:val="both"/>
        <w:rPr>
          <w:rFonts w:cs="Times New Roman"/>
          <w:sz w:val="20"/>
          <w:szCs w:val="20"/>
        </w:rPr>
      </w:pPr>
      <w:r w:rsidRPr="0038735E">
        <w:rPr>
          <w:rFonts w:cs="Times New Roman"/>
          <w:sz w:val="20"/>
          <w:szCs w:val="20"/>
        </w:rPr>
        <w:t>Współpraca z barwiarkami/nakrywarkami do preparatów.</w:t>
      </w:r>
    </w:p>
    <w:p w14:paraId="6E72F265" w14:textId="77777777" w:rsidR="003F012A" w:rsidRPr="0038735E" w:rsidRDefault="003F012A" w:rsidP="003F012A">
      <w:pPr>
        <w:pStyle w:val="Akapitzlist"/>
        <w:numPr>
          <w:ilvl w:val="2"/>
          <w:numId w:val="14"/>
        </w:numPr>
        <w:spacing w:after="120" w:line="276" w:lineRule="auto"/>
        <w:ind w:left="1134"/>
        <w:jc w:val="both"/>
        <w:rPr>
          <w:rFonts w:cs="Times New Roman"/>
          <w:sz w:val="20"/>
          <w:szCs w:val="20"/>
        </w:rPr>
      </w:pPr>
      <w:r w:rsidRPr="0038735E">
        <w:rPr>
          <w:rFonts w:cs="Times New Roman"/>
          <w:sz w:val="20"/>
          <w:szCs w:val="20"/>
        </w:rPr>
        <w:t>System musi współpracować z barwiarkami/nakrywarkami do preparatów wyposażonymi w czytniki kodów lub umożliwiającymi instalację takich czytników.</w:t>
      </w:r>
    </w:p>
    <w:p w14:paraId="4AC9F5AA" w14:textId="77777777" w:rsidR="003F012A" w:rsidRPr="0038735E" w:rsidRDefault="003F012A" w:rsidP="003F012A">
      <w:pPr>
        <w:pStyle w:val="Akapitzlist"/>
        <w:numPr>
          <w:ilvl w:val="2"/>
          <w:numId w:val="14"/>
        </w:numPr>
        <w:spacing w:after="120" w:line="276" w:lineRule="auto"/>
        <w:ind w:left="1134"/>
        <w:jc w:val="both"/>
        <w:rPr>
          <w:rFonts w:cs="Times New Roman"/>
          <w:sz w:val="20"/>
          <w:szCs w:val="20"/>
        </w:rPr>
      </w:pPr>
      <w:r w:rsidRPr="0038735E">
        <w:rPr>
          <w:rFonts w:cs="Times New Roman"/>
          <w:sz w:val="20"/>
          <w:szCs w:val="20"/>
        </w:rPr>
        <w:t>Integracja musi umożliwiać automatyczne oznaczenie preparatu jako zabarwiony po jego zabarwieniu, nakryciu i zeskanowaniu przez barwiarkę/nakrywarkę.</w:t>
      </w:r>
    </w:p>
    <w:p w14:paraId="40E26708" w14:textId="77777777" w:rsidR="003F012A" w:rsidRPr="0038735E" w:rsidRDefault="003F012A" w:rsidP="003F012A">
      <w:pPr>
        <w:pStyle w:val="Akapitzlist"/>
        <w:numPr>
          <w:ilvl w:val="2"/>
          <w:numId w:val="14"/>
        </w:numPr>
        <w:spacing w:after="120" w:line="276" w:lineRule="auto"/>
        <w:ind w:left="1134"/>
        <w:jc w:val="both"/>
        <w:rPr>
          <w:rFonts w:cs="Times New Roman"/>
          <w:sz w:val="20"/>
          <w:szCs w:val="20"/>
        </w:rPr>
      </w:pPr>
      <w:r w:rsidRPr="0038735E">
        <w:rPr>
          <w:rFonts w:cs="Times New Roman"/>
          <w:sz w:val="20"/>
          <w:szCs w:val="20"/>
        </w:rPr>
        <w:t>Po zabarwieniu/nakryciu preparat może zostać losowo wybrany do kontroli jakości.</w:t>
      </w:r>
    </w:p>
    <w:p w14:paraId="48976371" w14:textId="77777777" w:rsidR="003F012A" w:rsidRPr="0038735E" w:rsidRDefault="003F012A" w:rsidP="003F012A">
      <w:pPr>
        <w:pStyle w:val="Akapitzlist"/>
        <w:numPr>
          <w:ilvl w:val="2"/>
          <w:numId w:val="14"/>
        </w:numPr>
        <w:spacing w:after="120" w:line="276" w:lineRule="auto"/>
        <w:ind w:left="1134"/>
        <w:jc w:val="both"/>
        <w:rPr>
          <w:rFonts w:cs="Times New Roman"/>
          <w:sz w:val="20"/>
          <w:szCs w:val="20"/>
        </w:rPr>
      </w:pPr>
      <w:r w:rsidRPr="0038735E">
        <w:rPr>
          <w:rFonts w:cs="Times New Roman"/>
          <w:sz w:val="20"/>
          <w:szCs w:val="20"/>
        </w:rPr>
        <w:t>Wdrożenie funkcjonalności zostanie wykonane w czasie gwarancji, o ile Zamawiający będzie w posiadaniu nakrywarki posiadającej czytnik kodów kreskowych (max 1 szt.).</w:t>
      </w:r>
    </w:p>
    <w:p w14:paraId="72CEAF1A" w14:textId="77777777" w:rsidR="003F012A" w:rsidRPr="0038735E" w:rsidRDefault="003F012A" w:rsidP="003F012A">
      <w:pPr>
        <w:pStyle w:val="Akapitzlist"/>
        <w:numPr>
          <w:ilvl w:val="2"/>
          <w:numId w:val="14"/>
        </w:numPr>
        <w:spacing w:after="120" w:line="276" w:lineRule="auto"/>
        <w:ind w:left="1134"/>
        <w:jc w:val="both"/>
        <w:rPr>
          <w:rFonts w:cs="Times New Roman"/>
          <w:sz w:val="20"/>
          <w:szCs w:val="20"/>
        </w:rPr>
      </w:pPr>
      <w:r w:rsidRPr="0038735E">
        <w:rPr>
          <w:rFonts w:cs="Times New Roman"/>
          <w:sz w:val="20"/>
          <w:szCs w:val="20"/>
        </w:rPr>
        <w:t>Funkcjonalność nie jest przedmiotem niniejszego zamówienia zostanie uruchomiona na rzecz Zamawiającego w ramach odrębnego postępowania.</w:t>
      </w:r>
    </w:p>
    <w:p w14:paraId="7E207C77"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Współpraca z urządzeniami do znakowania</w:t>
      </w:r>
    </w:p>
    <w:p w14:paraId="3F53E362"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Współpraca systemu z dedykowanymi drukarkami do kasetek histopatologicznych.</w:t>
      </w:r>
    </w:p>
    <w:p w14:paraId="1046EDB6" w14:textId="77777777" w:rsidR="003F012A" w:rsidRPr="002901C0" w:rsidRDefault="003F012A" w:rsidP="002471F7">
      <w:pPr>
        <w:pStyle w:val="Akapitzlist"/>
        <w:numPr>
          <w:ilvl w:val="3"/>
          <w:numId w:val="14"/>
        </w:numPr>
        <w:spacing w:after="120" w:line="276" w:lineRule="auto"/>
        <w:ind w:left="1241" w:hanging="731"/>
        <w:jc w:val="both"/>
        <w:rPr>
          <w:rFonts w:cs="Times New Roman"/>
          <w:sz w:val="20"/>
          <w:szCs w:val="20"/>
        </w:rPr>
      </w:pPr>
      <w:r w:rsidRPr="002901C0">
        <w:rPr>
          <w:rFonts w:cs="Times New Roman"/>
          <w:sz w:val="20"/>
          <w:szCs w:val="20"/>
        </w:rPr>
        <w:t>Możliwość wskazania podajnika, z którego ma nastąpić pobranie kasetki do zadruku, jeżeli model drukarki wspiera taką funkcjonalność. Podajnik może być podpowiadany automatycznie na podstawie konfigurowalnych kryteriów jak typ, podtyp i sposób pobrania materiału, tryb przyjęcia, ścieżka kliniczna, typ badania, jednostka organizacyjna, projekt, topografia.</w:t>
      </w:r>
    </w:p>
    <w:p w14:paraId="0C1A210F" w14:textId="77777777" w:rsidR="003F012A" w:rsidRPr="002901C0" w:rsidRDefault="003F012A" w:rsidP="003F012A">
      <w:pPr>
        <w:pStyle w:val="Akapitzlist"/>
        <w:numPr>
          <w:ilvl w:val="2"/>
          <w:numId w:val="14"/>
        </w:numPr>
        <w:spacing w:after="120" w:line="276" w:lineRule="auto"/>
        <w:ind w:left="1134"/>
        <w:jc w:val="both"/>
        <w:rPr>
          <w:rFonts w:cs="Times New Roman"/>
          <w:sz w:val="20"/>
          <w:szCs w:val="20"/>
        </w:rPr>
      </w:pPr>
      <w:r w:rsidRPr="002901C0">
        <w:rPr>
          <w:rFonts w:cs="Times New Roman"/>
          <w:sz w:val="20"/>
          <w:szCs w:val="20"/>
        </w:rPr>
        <w:t>Współpraca systemu z dedykowanymi drukarkami do szkiełek mikroskopowych.</w:t>
      </w:r>
    </w:p>
    <w:p w14:paraId="6172E9EE" w14:textId="77777777" w:rsidR="003F012A" w:rsidRPr="002901C0" w:rsidRDefault="003F012A" w:rsidP="002471F7">
      <w:pPr>
        <w:pStyle w:val="Akapitzlist"/>
        <w:numPr>
          <w:ilvl w:val="3"/>
          <w:numId w:val="14"/>
        </w:numPr>
        <w:spacing w:after="120" w:line="276" w:lineRule="auto"/>
        <w:ind w:left="1241" w:hanging="731"/>
        <w:jc w:val="both"/>
        <w:rPr>
          <w:rFonts w:cs="Times New Roman"/>
          <w:sz w:val="20"/>
          <w:szCs w:val="20"/>
        </w:rPr>
      </w:pPr>
      <w:r w:rsidRPr="002901C0">
        <w:rPr>
          <w:rFonts w:cs="Times New Roman"/>
          <w:sz w:val="20"/>
          <w:szCs w:val="20"/>
        </w:rPr>
        <w:lastRenderedPageBreak/>
        <w:t>Możliwość automatycznego pobrania szkiełka z odpowiedniego podajnika drukarki w zależności od typu drukowanego preparatu (np. Hematoksylina-Eozyna, Histochemia itp.), jeżeli model drukarki wspiera taką funkcjonalność.</w:t>
      </w:r>
    </w:p>
    <w:p w14:paraId="1085331E" w14:textId="77777777" w:rsidR="003F012A" w:rsidRPr="00F84F01" w:rsidRDefault="003F012A" w:rsidP="003F012A">
      <w:pPr>
        <w:pStyle w:val="Akapitzlist"/>
        <w:numPr>
          <w:ilvl w:val="1"/>
          <w:numId w:val="14"/>
        </w:numPr>
        <w:spacing w:after="120" w:line="276" w:lineRule="auto"/>
        <w:ind w:left="567"/>
        <w:rPr>
          <w:rFonts w:cs="Times New Roman"/>
          <w:sz w:val="20"/>
          <w:szCs w:val="20"/>
        </w:rPr>
      </w:pPr>
      <w:r w:rsidRPr="00F84F01">
        <w:rPr>
          <w:rFonts w:cs="Times New Roman"/>
          <w:sz w:val="20"/>
          <w:szCs w:val="20"/>
        </w:rPr>
        <w:t>Współpraca z systemami barwiącymi</w:t>
      </w:r>
    </w:p>
    <w:p w14:paraId="078F3CAC" w14:textId="0A91ABC3" w:rsidR="003F012A" w:rsidRPr="00F84F01" w:rsidRDefault="00C53C05" w:rsidP="003F012A">
      <w:pPr>
        <w:ind w:left="567"/>
        <w:jc w:val="both"/>
        <w:rPr>
          <w:rFonts w:cs="Times New Roman"/>
          <w:sz w:val="20"/>
          <w:szCs w:val="20"/>
        </w:rPr>
      </w:pPr>
      <w:r>
        <w:rPr>
          <w:rFonts w:cs="Times New Roman"/>
          <w:sz w:val="20"/>
          <w:szCs w:val="20"/>
        </w:rPr>
        <w:t xml:space="preserve">11.4.1. </w:t>
      </w:r>
      <w:r w:rsidR="003F012A" w:rsidRPr="00F84F01">
        <w:rPr>
          <w:rFonts w:cs="Times New Roman"/>
          <w:sz w:val="20"/>
          <w:szCs w:val="20"/>
        </w:rPr>
        <w:t>Koszt zakupu licencji ponosi Wykonawca.  Po stronie Wykonawcy leży dostarczenie niezbędnego sprzętu i wszystkich niezbędnych licencji w tym na system operacyjny. Zamawiający oczekuje dostawy licencji wieczystej, chyba że producent systemu barwienia przewiduje wyłącznie sprzedaż na zasadach subskrypcji.</w:t>
      </w:r>
    </w:p>
    <w:p w14:paraId="1D1736E7" w14:textId="77777777" w:rsidR="003F012A" w:rsidRPr="00F84F01" w:rsidRDefault="003F012A" w:rsidP="003F012A">
      <w:pPr>
        <w:pStyle w:val="Akapitzlist"/>
        <w:numPr>
          <w:ilvl w:val="2"/>
          <w:numId w:val="15"/>
        </w:numPr>
        <w:spacing w:after="120" w:line="276" w:lineRule="auto"/>
        <w:jc w:val="both"/>
        <w:rPr>
          <w:rFonts w:cs="Times New Roman"/>
          <w:sz w:val="20"/>
          <w:szCs w:val="20"/>
        </w:rPr>
      </w:pPr>
      <w:r w:rsidRPr="00F84F01">
        <w:rPr>
          <w:rFonts w:cs="Times New Roman"/>
          <w:sz w:val="20"/>
          <w:szCs w:val="20"/>
        </w:rPr>
        <w:t>Integracja oferowanego systemu z systemem do barwień immunohistochemicznych musi obejmować co najmniej:</w:t>
      </w:r>
    </w:p>
    <w:p w14:paraId="1EA1FA09" w14:textId="77777777" w:rsidR="003F012A" w:rsidRPr="00F84F01" w:rsidRDefault="003F012A" w:rsidP="003F012A">
      <w:pPr>
        <w:pStyle w:val="Akapitzlist"/>
        <w:numPr>
          <w:ilvl w:val="3"/>
          <w:numId w:val="15"/>
        </w:numPr>
        <w:spacing w:after="120" w:line="276" w:lineRule="auto"/>
        <w:jc w:val="both"/>
        <w:rPr>
          <w:rFonts w:cs="Times New Roman"/>
          <w:sz w:val="20"/>
          <w:szCs w:val="20"/>
        </w:rPr>
      </w:pPr>
      <w:r w:rsidRPr="00F84F01">
        <w:rPr>
          <w:rFonts w:cs="Times New Roman"/>
          <w:sz w:val="20"/>
          <w:szCs w:val="20"/>
        </w:rPr>
        <w:t xml:space="preserve"> Integracja dwukierunkowa - każdy z systemów (system laboratoryjny oraz system barwienia) może zainicjować połączenie do drugiego systemu.</w:t>
      </w:r>
    </w:p>
    <w:p w14:paraId="4701F500" w14:textId="77777777" w:rsidR="003F012A" w:rsidRPr="00F84F01" w:rsidRDefault="003F012A" w:rsidP="003F012A">
      <w:pPr>
        <w:pStyle w:val="Akapitzlist"/>
        <w:numPr>
          <w:ilvl w:val="3"/>
          <w:numId w:val="15"/>
        </w:numPr>
        <w:spacing w:after="120" w:line="276" w:lineRule="auto"/>
        <w:jc w:val="both"/>
        <w:rPr>
          <w:rFonts w:cs="Times New Roman"/>
          <w:sz w:val="20"/>
          <w:szCs w:val="20"/>
        </w:rPr>
      </w:pPr>
      <w:r w:rsidRPr="00F84F01">
        <w:rPr>
          <w:rFonts w:cs="Times New Roman"/>
          <w:sz w:val="20"/>
          <w:szCs w:val="20"/>
        </w:rPr>
        <w:t xml:space="preserve"> Patomorfolog w systemie laboratoryjnym zleca barwienie dodatkowe do konkretnego bloczka.</w:t>
      </w:r>
    </w:p>
    <w:p w14:paraId="3120D0A6" w14:textId="77777777" w:rsidR="003F012A" w:rsidRPr="00F84F01" w:rsidRDefault="003F012A" w:rsidP="003F012A">
      <w:pPr>
        <w:pStyle w:val="Akapitzlist"/>
        <w:numPr>
          <w:ilvl w:val="3"/>
          <w:numId w:val="15"/>
        </w:numPr>
        <w:spacing w:after="120" w:line="276" w:lineRule="auto"/>
        <w:jc w:val="both"/>
        <w:rPr>
          <w:rFonts w:cs="Times New Roman"/>
          <w:sz w:val="20"/>
          <w:szCs w:val="20"/>
        </w:rPr>
      </w:pPr>
      <w:r w:rsidRPr="00F84F01">
        <w:rPr>
          <w:rFonts w:cs="Times New Roman"/>
          <w:sz w:val="20"/>
          <w:szCs w:val="20"/>
        </w:rPr>
        <w:t xml:space="preserve"> System uniemożliwia zlecenie barwienia dodatkowego, gdy dla danego bloczka parafinowego zostało już wykonanie dane badanie dodatkowe (możliwość zlecenia takiego badania po uprzednim zatwierdzeniu ostrzeżenia o wykonanym badaniu przez uprawnionego użytkownika).</w:t>
      </w:r>
    </w:p>
    <w:p w14:paraId="52F14D5D" w14:textId="77777777" w:rsidR="003F012A" w:rsidRPr="002901C0" w:rsidRDefault="003F012A" w:rsidP="003F012A">
      <w:pPr>
        <w:pStyle w:val="Akapitzlist"/>
        <w:numPr>
          <w:ilvl w:val="3"/>
          <w:numId w:val="15"/>
        </w:numPr>
        <w:spacing w:after="120" w:line="276" w:lineRule="auto"/>
        <w:jc w:val="both"/>
        <w:rPr>
          <w:rFonts w:cs="Times New Roman"/>
          <w:sz w:val="20"/>
          <w:szCs w:val="20"/>
        </w:rPr>
      </w:pPr>
      <w:r w:rsidRPr="002901C0">
        <w:rPr>
          <w:rFonts w:cs="Times New Roman"/>
          <w:sz w:val="20"/>
          <w:szCs w:val="20"/>
        </w:rPr>
        <w:t xml:space="preserve"> System informuje, gdy dla danego materiału (lub lokalizacji anatomicznej) wykonano takie barwienia dodatkowe, ale z innego bloczka parafinowego.</w:t>
      </w:r>
    </w:p>
    <w:p w14:paraId="0E31D98E" w14:textId="77777777" w:rsidR="003F012A" w:rsidRPr="002901C0" w:rsidRDefault="003F012A" w:rsidP="003F012A">
      <w:pPr>
        <w:pStyle w:val="Akapitzlist"/>
        <w:numPr>
          <w:ilvl w:val="3"/>
          <w:numId w:val="15"/>
        </w:numPr>
        <w:spacing w:after="120" w:line="276" w:lineRule="auto"/>
        <w:jc w:val="both"/>
        <w:rPr>
          <w:rFonts w:cs="Times New Roman"/>
          <w:sz w:val="20"/>
          <w:szCs w:val="20"/>
        </w:rPr>
      </w:pPr>
      <w:r w:rsidRPr="002901C0">
        <w:rPr>
          <w:rFonts w:cs="Times New Roman"/>
          <w:sz w:val="20"/>
          <w:szCs w:val="20"/>
        </w:rPr>
        <w:t xml:space="preserve"> Personel laboratorium tworzy szkiełko, drukuje je z systemu laboratoryjnego i umieszcza na nim skrawek tkankowy do barwienia.</w:t>
      </w:r>
    </w:p>
    <w:p w14:paraId="2973DE3A" w14:textId="77777777" w:rsidR="003F012A" w:rsidRPr="002901C0" w:rsidRDefault="003F012A" w:rsidP="003F012A">
      <w:pPr>
        <w:pStyle w:val="Akapitzlist"/>
        <w:numPr>
          <w:ilvl w:val="3"/>
          <w:numId w:val="15"/>
        </w:numPr>
        <w:spacing w:after="120" w:line="276" w:lineRule="auto"/>
        <w:jc w:val="both"/>
        <w:rPr>
          <w:rFonts w:cs="Times New Roman"/>
          <w:sz w:val="20"/>
          <w:szCs w:val="20"/>
        </w:rPr>
      </w:pPr>
      <w:r w:rsidRPr="002901C0">
        <w:rPr>
          <w:rFonts w:cs="Times New Roman"/>
          <w:sz w:val="20"/>
          <w:szCs w:val="20"/>
        </w:rPr>
        <w:t xml:space="preserve"> Szkiełko zawiera kod, unikatowy w obrębie całego laboratorium, stanowiący identyfikator preparatu. Kod będzie wydrukowany w formacie 2D.</w:t>
      </w:r>
    </w:p>
    <w:p w14:paraId="5D210F0A" w14:textId="77777777" w:rsidR="003F012A" w:rsidRPr="002901C0" w:rsidRDefault="003F012A" w:rsidP="003F012A">
      <w:pPr>
        <w:pStyle w:val="Akapitzlist"/>
        <w:numPr>
          <w:ilvl w:val="3"/>
          <w:numId w:val="15"/>
        </w:numPr>
        <w:spacing w:after="120" w:line="276" w:lineRule="auto"/>
        <w:jc w:val="both"/>
        <w:rPr>
          <w:rFonts w:cs="Times New Roman"/>
          <w:sz w:val="20"/>
          <w:szCs w:val="20"/>
        </w:rPr>
      </w:pPr>
      <w:r w:rsidRPr="002901C0">
        <w:rPr>
          <w:rFonts w:cs="Times New Roman"/>
          <w:sz w:val="20"/>
          <w:szCs w:val="20"/>
        </w:rPr>
        <w:t xml:space="preserve"> System laboratoryjny w momencie dodania preparatu wysyła do systemu barwienia zlecenie barwienia.</w:t>
      </w:r>
    </w:p>
    <w:p w14:paraId="584AE6C5" w14:textId="77777777" w:rsidR="003F012A" w:rsidRPr="002901C0" w:rsidRDefault="003F012A" w:rsidP="003F012A">
      <w:pPr>
        <w:pStyle w:val="Akapitzlist"/>
        <w:numPr>
          <w:ilvl w:val="3"/>
          <w:numId w:val="15"/>
        </w:numPr>
        <w:spacing w:after="120" w:line="276" w:lineRule="auto"/>
        <w:jc w:val="both"/>
        <w:rPr>
          <w:rFonts w:cs="Times New Roman"/>
          <w:sz w:val="20"/>
          <w:szCs w:val="20"/>
        </w:rPr>
      </w:pPr>
      <w:r w:rsidRPr="002901C0">
        <w:rPr>
          <w:rFonts w:cs="Times New Roman"/>
          <w:sz w:val="20"/>
          <w:szCs w:val="20"/>
        </w:rPr>
        <w:t xml:space="preserve"> W przypadku anulowania zlecenia barwienia system laboratoryjny wyśle informację, że zlecenie jest anulowane. System barwienia wykreśli wtedy takie zlecenie barwienia z bazy lub je zdezaktywuje/ukryje.</w:t>
      </w:r>
    </w:p>
    <w:p w14:paraId="4C84023C" w14:textId="77777777" w:rsidR="003F012A" w:rsidRPr="002901C0" w:rsidRDefault="003F012A" w:rsidP="003F012A">
      <w:pPr>
        <w:pStyle w:val="Akapitzlist"/>
        <w:numPr>
          <w:ilvl w:val="3"/>
          <w:numId w:val="15"/>
        </w:numPr>
        <w:spacing w:after="120" w:line="276" w:lineRule="auto"/>
        <w:jc w:val="both"/>
        <w:rPr>
          <w:rFonts w:cs="Times New Roman"/>
          <w:sz w:val="20"/>
          <w:szCs w:val="20"/>
        </w:rPr>
      </w:pPr>
      <w:r w:rsidRPr="002901C0">
        <w:rPr>
          <w:rFonts w:cs="Times New Roman"/>
          <w:sz w:val="20"/>
          <w:szCs w:val="20"/>
        </w:rPr>
        <w:t xml:space="preserve"> Zlecenie barwienia zawiera dane: imię i nazwisko pacjenta, PESEL, identyfikator pacjenta z systemu szpitalnego (HIS), numer przypadku, numer bloczka parafinowego, typ barwienia ze słownika systemu barwienia, kod kreskowy z preparatu.</w:t>
      </w:r>
    </w:p>
    <w:p w14:paraId="7F569C7F" w14:textId="77777777" w:rsidR="003F012A" w:rsidRPr="002901C0" w:rsidRDefault="003F012A" w:rsidP="003F012A">
      <w:pPr>
        <w:pStyle w:val="Akapitzlist"/>
        <w:numPr>
          <w:ilvl w:val="3"/>
          <w:numId w:val="15"/>
        </w:numPr>
        <w:spacing w:after="120" w:line="276" w:lineRule="auto"/>
        <w:jc w:val="both"/>
        <w:rPr>
          <w:rFonts w:cs="Times New Roman"/>
          <w:sz w:val="20"/>
          <w:szCs w:val="20"/>
        </w:rPr>
      </w:pPr>
      <w:r w:rsidRPr="002901C0">
        <w:rPr>
          <w:rFonts w:cs="Times New Roman"/>
          <w:sz w:val="20"/>
          <w:szCs w:val="20"/>
        </w:rPr>
        <w:t xml:space="preserve"> Jeżeli system barwienia będzie wspierać określanie stref zakraplania odczynnika, to w systemie laboratoryjnym powinna być funkcja wyboru strefy zakraplania.</w:t>
      </w:r>
    </w:p>
    <w:p w14:paraId="38BEB923" w14:textId="77777777" w:rsidR="003F012A" w:rsidRPr="002901C0" w:rsidRDefault="003F012A" w:rsidP="003F012A">
      <w:pPr>
        <w:pStyle w:val="Akapitzlist"/>
        <w:numPr>
          <w:ilvl w:val="3"/>
          <w:numId w:val="15"/>
        </w:numPr>
        <w:spacing w:after="120" w:line="276" w:lineRule="auto"/>
        <w:jc w:val="both"/>
        <w:rPr>
          <w:rFonts w:cs="Times New Roman"/>
          <w:sz w:val="20"/>
          <w:szCs w:val="20"/>
        </w:rPr>
      </w:pPr>
      <w:r w:rsidRPr="002901C0">
        <w:rPr>
          <w:rFonts w:cs="Times New Roman"/>
          <w:sz w:val="20"/>
          <w:szCs w:val="20"/>
        </w:rPr>
        <w:t xml:space="preserve"> System barwienia zapisuje zlecenie barwienia do swojej bazy danych i z chwilą umieszczenia szkiełka w maszynie barwiącej, na podstawie kodu kreskowego i danych zlecenia określi ona typ barwienia i je wykona.</w:t>
      </w:r>
    </w:p>
    <w:p w14:paraId="07D13714" w14:textId="77777777" w:rsidR="003F012A" w:rsidRPr="002901C0" w:rsidRDefault="003F012A" w:rsidP="003F012A">
      <w:pPr>
        <w:pStyle w:val="Akapitzlist"/>
        <w:numPr>
          <w:ilvl w:val="3"/>
          <w:numId w:val="15"/>
        </w:numPr>
        <w:spacing w:after="120" w:line="276" w:lineRule="auto"/>
        <w:jc w:val="both"/>
        <w:rPr>
          <w:rFonts w:cs="Times New Roman"/>
          <w:sz w:val="20"/>
          <w:szCs w:val="20"/>
        </w:rPr>
      </w:pPr>
      <w:r w:rsidRPr="002901C0">
        <w:rPr>
          <w:rFonts w:cs="Times New Roman"/>
          <w:sz w:val="20"/>
          <w:szCs w:val="20"/>
        </w:rPr>
        <w:t xml:space="preserve"> System barwienia po zakończeniu barwienia wysyła do systemu laboratoryjnego informację ze statusem zakończenia barwienia, aby poinformować patomorfologa, że preparat jest już na ukończeniu.</w:t>
      </w:r>
    </w:p>
    <w:p w14:paraId="003AB90F" w14:textId="77777777" w:rsidR="003F012A" w:rsidRPr="002901C0" w:rsidRDefault="003F012A" w:rsidP="003F012A">
      <w:pPr>
        <w:pStyle w:val="Akapitzlist"/>
        <w:numPr>
          <w:ilvl w:val="3"/>
          <w:numId w:val="15"/>
        </w:numPr>
        <w:spacing w:after="120" w:line="276" w:lineRule="auto"/>
        <w:jc w:val="both"/>
        <w:rPr>
          <w:rFonts w:cs="Times New Roman"/>
          <w:sz w:val="20"/>
          <w:szCs w:val="20"/>
        </w:rPr>
      </w:pPr>
      <w:r w:rsidRPr="002901C0">
        <w:rPr>
          <w:rFonts w:cs="Times New Roman"/>
          <w:sz w:val="20"/>
          <w:szCs w:val="20"/>
        </w:rPr>
        <w:t xml:space="preserve"> Wykonawca jest zobowiązany do uzgodnienia słowników barwień z dostawcą systemu barwienia.</w:t>
      </w:r>
    </w:p>
    <w:p w14:paraId="67DA302A" w14:textId="77777777" w:rsidR="003F012A" w:rsidRPr="002901C0" w:rsidRDefault="003F012A" w:rsidP="003F012A">
      <w:pPr>
        <w:pStyle w:val="Akapitzlist"/>
        <w:numPr>
          <w:ilvl w:val="3"/>
          <w:numId w:val="15"/>
        </w:numPr>
        <w:spacing w:after="120" w:line="276" w:lineRule="auto"/>
        <w:jc w:val="both"/>
        <w:rPr>
          <w:rFonts w:cs="Times New Roman"/>
          <w:sz w:val="20"/>
          <w:szCs w:val="20"/>
        </w:rPr>
      </w:pPr>
      <w:r w:rsidRPr="002901C0">
        <w:rPr>
          <w:rFonts w:cs="Times New Roman"/>
          <w:sz w:val="20"/>
          <w:szCs w:val="20"/>
        </w:rPr>
        <w:t xml:space="preserve"> Niedopuszczalne jest wielokrotne oznakowanie szkiełka różnymi kodami kreskowymi w trakcie procesu przygotowywania i barwienia.</w:t>
      </w:r>
    </w:p>
    <w:p w14:paraId="3876B28C" w14:textId="77777777" w:rsidR="003F012A" w:rsidRPr="002901C0" w:rsidRDefault="003F012A" w:rsidP="003F012A">
      <w:pPr>
        <w:pStyle w:val="Akapitzlist"/>
        <w:numPr>
          <w:ilvl w:val="3"/>
          <w:numId w:val="15"/>
        </w:numPr>
        <w:spacing w:after="120" w:line="276" w:lineRule="auto"/>
        <w:jc w:val="both"/>
        <w:rPr>
          <w:rFonts w:cs="Times New Roman"/>
          <w:sz w:val="20"/>
          <w:szCs w:val="20"/>
        </w:rPr>
      </w:pPr>
      <w:r w:rsidRPr="002901C0">
        <w:rPr>
          <w:rFonts w:cs="Times New Roman"/>
          <w:sz w:val="20"/>
          <w:szCs w:val="20"/>
        </w:rPr>
        <w:t xml:space="preserve"> System nie pozwala na wykonanie powtórnego badania z tego samego bloczka parafinowego skutkującego powstaniem duplikatu, chyba że osoba posiada stosowne uprawnienia.</w:t>
      </w:r>
    </w:p>
    <w:p w14:paraId="3CAC6D51" w14:textId="77777777" w:rsidR="003F012A" w:rsidRPr="002901C0" w:rsidRDefault="003F012A" w:rsidP="00C53C05">
      <w:pPr>
        <w:pStyle w:val="Akapitzlist"/>
        <w:numPr>
          <w:ilvl w:val="2"/>
          <w:numId w:val="15"/>
        </w:numPr>
        <w:spacing w:after="120" w:line="276" w:lineRule="auto"/>
        <w:ind w:left="1571"/>
        <w:jc w:val="both"/>
        <w:rPr>
          <w:rFonts w:cs="Times New Roman"/>
          <w:sz w:val="20"/>
          <w:szCs w:val="20"/>
        </w:rPr>
      </w:pPr>
      <w:r w:rsidRPr="002901C0">
        <w:rPr>
          <w:rFonts w:cs="Times New Roman"/>
          <w:sz w:val="20"/>
          <w:szCs w:val="20"/>
        </w:rPr>
        <w:lastRenderedPageBreak/>
        <w:t>Możliwość integracji oferowanego systemu z systemem do barwień histochemicznych - oczekiwany zakres integracji:</w:t>
      </w:r>
    </w:p>
    <w:p w14:paraId="3DEA88B4" w14:textId="77777777" w:rsidR="003F012A" w:rsidRPr="002901C0" w:rsidRDefault="003F012A" w:rsidP="003F012A">
      <w:pPr>
        <w:pStyle w:val="Akapitzlist"/>
        <w:numPr>
          <w:ilvl w:val="3"/>
          <w:numId w:val="15"/>
        </w:numPr>
        <w:spacing w:after="120" w:line="276" w:lineRule="auto"/>
        <w:jc w:val="both"/>
        <w:rPr>
          <w:rFonts w:cs="Times New Roman"/>
          <w:sz w:val="20"/>
          <w:szCs w:val="20"/>
        </w:rPr>
      </w:pPr>
      <w:r w:rsidRPr="002901C0">
        <w:rPr>
          <w:rFonts w:cs="Times New Roman"/>
          <w:sz w:val="20"/>
          <w:szCs w:val="20"/>
        </w:rPr>
        <w:t xml:space="preserve"> Integracja dwukierunkowa - każdy z systemów (system laboratoryjny oraz system barwienia) może zainicjować połączenie do drugiego systemu.</w:t>
      </w:r>
    </w:p>
    <w:p w14:paraId="698B37C8" w14:textId="77777777" w:rsidR="003F012A" w:rsidRPr="002901C0" w:rsidRDefault="003F012A" w:rsidP="003F012A">
      <w:pPr>
        <w:pStyle w:val="Akapitzlist"/>
        <w:numPr>
          <w:ilvl w:val="3"/>
          <w:numId w:val="15"/>
        </w:numPr>
        <w:spacing w:after="120" w:line="276" w:lineRule="auto"/>
        <w:jc w:val="both"/>
        <w:rPr>
          <w:rFonts w:cs="Times New Roman"/>
          <w:sz w:val="20"/>
          <w:szCs w:val="20"/>
        </w:rPr>
      </w:pPr>
      <w:r w:rsidRPr="002901C0">
        <w:rPr>
          <w:rFonts w:cs="Times New Roman"/>
          <w:sz w:val="20"/>
          <w:szCs w:val="20"/>
        </w:rPr>
        <w:t xml:space="preserve"> Patomorfolog w systemie laboratoryjnym zleca barwienie dodatkowe do konkretnego bloczka.</w:t>
      </w:r>
    </w:p>
    <w:p w14:paraId="1CE7DE0F" w14:textId="77777777" w:rsidR="003F012A" w:rsidRPr="002901C0" w:rsidRDefault="003F012A" w:rsidP="003F012A">
      <w:pPr>
        <w:pStyle w:val="Akapitzlist"/>
        <w:numPr>
          <w:ilvl w:val="3"/>
          <w:numId w:val="15"/>
        </w:numPr>
        <w:spacing w:after="120" w:line="276" w:lineRule="auto"/>
        <w:jc w:val="both"/>
        <w:rPr>
          <w:rFonts w:cs="Times New Roman"/>
          <w:sz w:val="20"/>
          <w:szCs w:val="20"/>
        </w:rPr>
      </w:pPr>
      <w:r w:rsidRPr="002901C0">
        <w:rPr>
          <w:rFonts w:cs="Times New Roman"/>
          <w:sz w:val="20"/>
          <w:szCs w:val="20"/>
        </w:rPr>
        <w:t xml:space="preserve"> System uniemożliwia zlecenie barwienia dodatkowego, gdy dla danego bloczka parafinowego zostało już wykonanie dane badanie dodatkowe (możliwość zlecenia takiego badania to uprzednim zatwierdzeniu ostrzeżenia o wykonanym badaniu przez uprawnionego użytkownika).</w:t>
      </w:r>
    </w:p>
    <w:p w14:paraId="063E963B" w14:textId="77777777" w:rsidR="003F012A" w:rsidRPr="002901C0" w:rsidRDefault="003F012A" w:rsidP="003F012A">
      <w:pPr>
        <w:pStyle w:val="Akapitzlist"/>
        <w:numPr>
          <w:ilvl w:val="3"/>
          <w:numId w:val="15"/>
        </w:numPr>
        <w:spacing w:after="120" w:line="276" w:lineRule="auto"/>
        <w:jc w:val="both"/>
        <w:rPr>
          <w:rFonts w:cs="Times New Roman"/>
          <w:sz w:val="20"/>
          <w:szCs w:val="20"/>
        </w:rPr>
      </w:pPr>
      <w:r w:rsidRPr="002901C0">
        <w:rPr>
          <w:rFonts w:cs="Times New Roman"/>
          <w:sz w:val="20"/>
          <w:szCs w:val="20"/>
        </w:rPr>
        <w:t xml:space="preserve"> System wyświetla ostrzeżenie, gdy dla danego materiału (lub lokalizacji anatomicznej) wykonano takie barwienia dodatkowe, ale z innego bloczka parafinowego.</w:t>
      </w:r>
    </w:p>
    <w:p w14:paraId="2A16126D" w14:textId="77777777" w:rsidR="003F012A" w:rsidRPr="002901C0" w:rsidRDefault="003F012A" w:rsidP="003F012A">
      <w:pPr>
        <w:pStyle w:val="Akapitzlist"/>
        <w:numPr>
          <w:ilvl w:val="3"/>
          <w:numId w:val="15"/>
        </w:numPr>
        <w:spacing w:after="120" w:line="276" w:lineRule="auto"/>
        <w:jc w:val="both"/>
        <w:rPr>
          <w:rFonts w:cs="Times New Roman"/>
          <w:sz w:val="20"/>
          <w:szCs w:val="20"/>
        </w:rPr>
      </w:pPr>
      <w:r w:rsidRPr="002901C0">
        <w:rPr>
          <w:rFonts w:cs="Times New Roman"/>
          <w:sz w:val="20"/>
          <w:szCs w:val="20"/>
        </w:rPr>
        <w:t xml:space="preserve"> Personel laboratorium tworzy szkiełko, drukuje je z systemu laboratoryjnego i umieszcza na nim skrawek tkankowy do barwienia.</w:t>
      </w:r>
    </w:p>
    <w:p w14:paraId="2BCDB3E5" w14:textId="77777777" w:rsidR="003F012A" w:rsidRPr="002901C0" w:rsidRDefault="003F012A" w:rsidP="003F012A">
      <w:pPr>
        <w:pStyle w:val="Akapitzlist"/>
        <w:numPr>
          <w:ilvl w:val="3"/>
          <w:numId w:val="15"/>
        </w:numPr>
        <w:spacing w:after="120" w:line="276" w:lineRule="auto"/>
        <w:jc w:val="both"/>
        <w:rPr>
          <w:rFonts w:cs="Times New Roman"/>
          <w:sz w:val="20"/>
          <w:szCs w:val="20"/>
        </w:rPr>
      </w:pPr>
      <w:r w:rsidRPr="002901C0">
        <w:rPr>
          <w:rFonts w:cs="Times New Roman"/>
          <w:sz w:val="20"/>
          <w:szCs w:val="20"/>
        </w:rPr>
        <w:t xml:space="preserve"> Szkiełko zawiera kod kreskowy, unikatowy w obrębie całego laboratorium, stanowiący identyfikator preparatu. Kod kreskowy będzie wydrukowany w formacie 2D. </w:t>
      </w:r>
    </w:p>
    <w:p w14:paraId="0D7B18EF" w14:textId="77777777" w:rsidR="003F012A" w:rsidRPr="002901C0" w:rsidRDefault="003F012A" w:rsidP="003F012A">
      <w:pPr>
        <w:pStyle w:val="Akapitzlist"/>
        <w:numPr>
          <w:ilvl w:val="3"/>
          <w:numId w:val="15"/>
        </w:numPr>
        <w:spacing w:after="120" w:line="276" w:lineRule="auto"/>
        <w:jc w:val="both"/>
        <w:rPr>
          <w:rFonts w:cs="Times New Roman"/>
          <w:sz w:val="20"/>
          <w:szCs w:val="20"/>
        </w:rPr>
      </w:pPr>
      <w:r w:rsidRPr="002901C0">
        <w:rPr>
          <w:rFonts w:cs="Times New Roman"/>
          <w:sz w:val="20"/>
          <w:szCs w:val="20"/>
        </w:rPr>
        <w:t xml:space="preserve"> System laboratoryjny w momencie dodania preparatu wysyła do systemu barwienia zlecenie barwienia.</w:t>
      </w:r>
    </w:p>
    <w:p w14:paraId="467839E7" w14:textId="77777777" w:rsidR="003F012A" w:rsidRPr="002901C0" w:rsidRDefault="003F012A" w:rsidP="003F012A">
      <w:pPr>
        <w:pStyle w:val="Akapitzlist"/>
        <w:numPr>
          <w:ilvl w:val="3"/>
          <w:numId w:val="15"/>
        </w:numPr>
        <w:spacing w:after="120" w:line="276" w:lineRule="auto"/>
        <w:jc w:val="both"/>
        <w:rPr>
          <w:rFonts w:cs="Times New Roman"/>
          <w:sz w:val="20"/>
          <w:szCs w:val="20"/>
        </w:rPr>
      </w:pPr>
      <w:r w:rsidRPr="002901C0">
        <w:rPr>
          <w:rFonts w:cs="Times New Roman"/>
          <w:sz w:val="20"/>
          <w:szCs w:val="20"/>
        </w:rPr>
        <w:t xml:space="preserve"> W przypadku anulowania zlecenia barwienia system laboratoryjny wyśle informację, że zlecenie jest anulowane. System barwienia wykreśli wtedy takie zlecenie barwienia z bazy lub je zdezaktywuje/ukryje.</w:t>
      </w:r>
    </w:p>
    <w:p w14:paraId="0D522BC9" w14:textId="77777777" w:rsidR="003F012A" w:rsidRPr="002901C0" w:rsidRDefault="003F012A" w:rsidP="003F012A">
      <w:pPr>
        <w:pStyle w:val="Akapitzlist"/>
        <w:numPr>
          <w:ilvl w:val="3"/>
          <w:numId w:val="15"/>
        </w:numPr>
        <w:spacing w:after="120" w:line="276" w:lineRule="auto"/>
        <w:jc w:val="both"/>
        <w:rPr>
          <w:rFonts w:cs="Times New Roman"/>
          <w:sz w:val="20"/>
          <w:szCs w:val="20"/>
        </w:rPr>
      </w:pPr>
      <w:r w:rsidRPr="002901C0">
        <w:rPr>
          <w:rFonts w:cs="Times New Roman"/>
          <w:sz w:val="20"/>
          <w:szCs w:val="20"/>
        </w:rPr>
        <w:t xml:space="preserve"> Zlecenie barwienia zawiera dane: imię i nazwisko pacjenta, PESEL, identyfikator pacjenta z systemu szpitalnego (HIS), numer przypadku, numer bloczka parafinowego, typ barwienia ze słownika systemu barwienia, kod kreskowy z preparatu.</w:t>
      </w:r>
    </w:p>
    <w:p w14:paraId="246681D5" w14:textId="77777777" w:rsidR="003F012A" w:rsidRPr="002901C0" w:rsidRDefault="003F012A" w:rsidP="003F012A">
      <w:pPr>
        <w:pStyle w:val="Akapitzlist"/>
        <w:numPr>
          <w:ilvl w:val="3"/>
          <w:numId w:val="15"/>
        </w:numPr>
        <w:spacing w:after="120" w:line="276" w:lineRule="auto"/>
        <w:jc w:val="both"/>
        <w:rPr>
          <w:rFonts w:cs="Times New Roman"/>
          <w:sz w:val="20"/>
          <w:szCs w:val="20"/>
        </w:rPr>
      </w:pPr>
      <w:r w:rsidRPr="002901C0">
        <w:rPr>
          <w:rFonts w:cs="Times New Roman"/>
          <w:sz w:val="20"/>
          <w:szCs w:val="20"/>
        </w:rPr>
        <w:t xml:space="preserve"> Jeżeli system barwienia będzie wspierać określanie stref zakraplania odczynnika, to w systemie laboratoryjnym powinna być funkcja wyboru strefy zakraplania.</w:t>
      </w:r>
    </w:p>
    <w:p w14:paraId="0B8F8A9E" w14:textId="77777777" w:rsidR="003F012A" w:rsidRPr="002901C0" w:rsidRDefault="003F012A" w:rsidP="003F012A">
      <w:pPr>
        <w:pStyle w:val="Akapitzlist"/>
        <w:numPr>
          <w:ilvl w:val="3"/>
          <w:numId w:val="15"/>
        </w:numPr>
        <w:spacing w:after="120" w:line="276" w:lineRule="auto"/>
        <w:jc w:val="both"/>
        <w:rPr>
          <w:rFonts w:cs="Times New Roman"/>
          <w:sz w:val="20"/>
          <w:szCs w:val="20"/>
        </w:rPr>
      </w:pPr>
      <w:r w:rsidRPr="002901C0">
        <w:rPr>
          <w:rFonts w:cs="Times New Roman"/>
          <w:sz w:val="20"/>
          <w:szCs w:val="20"/>
        </w:rPr>
        <w:t xml:space="preserve"> System barwienia zapisuje zlecenie barwienia do swojej bazy danych i z chwilą umieszczenia szkiełka w maszynie barwiącej, na podstawie kodu kreskowego i danych zlecenia określi ona typ barwienia i je wykona.</w:t>
      </w:r>
    </w:p>
    <w:p w14:paraId="1CC598C1" w14:textId="77777777" w:rsidR="003F012A" w:rsidRPr="002901C0" w:rsidRDefault="003F012A" w:rsidP="003F012A">
      <w:pPr>
        <w:pStyle w:val="Akapitzlist"/>
        <w:numPr>
          <w:ilvl w:val="3"/>
          <w:numId w:val="15"/>
        </w:numPr>
        <w:spacing w:after="120" w:line="276" w:lineRule="auto"/>
        <w:jc w:val="both"/>
        <w:rPr>
          <w:rFonts w:cs="Times New Roman"/>
          <w:sz w:val="20"/>
          <w:szCs w:val="20"/>
        </w:rPr>
      </w:pPr>
      <w:r w:rsidRPr="002901C0">
        <w:rPr>
          <w:rFonts w:cs="Times New Roman"/>
          <w:sz w:val="20"/>
          <w:szCs w:val="20"/>
        </w:rPr>
        <w:t xml:space="preserve"> System barwienia po zakończeniu barwienia wysyła do systemu laboratoryjnego informację ze statusem zakończenia barwienia, aby poinformować patomorfologa, że preparat jest już na ukończeniu.</w:t>
      </w:r>
    </w:p>
    <w:p w14:paraId="6381F748" w14:textId="77777777" w:rsidR="003F012A" w:rsidRPr="002901C0" w:rsidRDefault="003F012A" w:rsidP="003F012A">
      <w:pPr>
        <w:pStyle w:val="Akapitzlist"/>
        <w:numPr>
          <w:ilvl w:val="3"/>
          <w:numId w:val="15"/>
        </w:numPr>
        <w:spacing w:after="120" w:line="276" w:lineRule="auto"/>
        <w:jc w:val="both"/>
        <w:rPr>
          <w:rFonts w:cs="Times New Roman"/>
          <w:sz w:val="20"/>
          <w:szCs w:val="20"/>
        </w:rPr>
      </w:pPr>
      <w:r w:rsidRPr="002901C0">
        <w:rPr>
          <w:rFonts w:cs="Times New Roman"/>
          <w:sz w:val="20"/>
          <w:szCs w:val="20"/>
        </w:rPr>
        <w:t xml:space="preserve"> Wykonawca jest zobowiązany do uzgodnienia słowników barwień z dostawcą systemu barwienia.</w:t>
      </w:r>
    </w:p>
    <w:p w14:paraId="0BF876D3" w14:textId="77777777" w:rsidR="003F012A" w:rsidRPr="002901C0" w:rsidRDefault="003F012A" w:rsidP="003F012A">
      <w:pPr>
        <w:pStyle w:val="Akapitzlist"/>
        <w:numPr>
          <w:ilvl w:val="3"/>
          <w:numId w:val="15"/>
        </w:numPr>
        <w:spacing w:after="120" w:line="276" w:lineRule="auto"/>
        <w:jc w:val="both"/>
        <w:rPr>
          <w:rFonts w:cs="Times New Roman"/>
          <w:sz w:val="20"/>
          <w:szCs w:val="20"/>
        </w:rPr>
      </w:pPr>
      <w:r w:rsidRPr="002901C0">
        <w:rPr>
          <w:rFonts w:cs="Times New Roman"/>
          <w:sz w:val="20"/>
          <w:szCs w:val="20"/>
        </w:rPr>
        <w:t xml:space="preserve"> Niedopuszczalne jest wielokrotne oznakowanie szkiełka różnymi kodami kreskowymi w trakcie procesu przygotowywania i barwienia.</w:t>
      </w:r>
    </w:p>
    <w:p w14:paraId="55F3452F" w14:textId="77777777" w:rsidR="003F012A" w:rsidRPr="002901C0" w:rsidRDefault="003F012A" w:rsidP="003F012A">
      <w:pPr>
        <w:pStyle w:val="Akapitzlist"/>
        <w:numPr>
          <w:ilvl w:val="1"/>
          <w:numId w:val="14"/>
        </w:numPr>
        <w:spacing w:after="120" w:line="276" w:lineRule="auto"/>
        <w:ind w:left="567"/>
        <w:rPr>
          <w:rFonts w:cs="Times New Roman"/>
          <w:sz w:val="20"/>
          <w:szCs w:val="20"/>
        </w:rPr>
      </w:pPr>
      <w:r w:rsidRPr="002901C0">
        <w:rPr>
          <w:rFonts w:cs="Times New Roman"/>
          <w:sz w:val="20"/>
          <w:szCs w:val="20"/>
        </w:rPr>
        <w:t>Współpraca z procesorami tkankowymi</w:t>
      </w:r>
    </w:p>
    <w:p w14:paraId="70B1EF51" w14:textId="77777777" w:rsidR="003F012A" w:rsidRPr="002901C0" w:rsidRDefault="003F012A" w:rsidP="003F012A">
      <w:pPr>
        <w:pStyle w:val="Akapitzlist"/>
        <w:numPr>
          <w:ilvl w:val="2"/>
          <w:numId w:val="14"/>
        </w:numPr>
        <w:spacing w:after="120" w:line="276" w:lineRule="auto"/>
        <w:ind w:left="1134" w:hanging="725"/>
        <w:jc w:val="both"/>
        <w:rPr>
          <w:rFonts w:cs="Times New Roman"/>
          <w:sz w:val="20"/>
          <w:szCs w:val="20"/>
        </w:rPr>
      </w:pPr>
      <w:r w:rsidRPr="002901C0">
        <w:rPr>
          <w:rFonts w:cs="Times New Roman"/>
          <w:sz w:val="20"/>
          <w:szCs w:val="20"/>
        </w:rPr>
        <w:t>W ramach wdrożenia Wykonawca dostarczy funkcjonalności opisane w pkt. 11.5.2-11.5.5. Funkcjonalności opisane w pkt. 11.5.6-11.5.9 muszą być możliwe do wdrożenia w ramach odrębnego zamówienia w czasie trwania gwarancji, w terminie nie dłuższym niż 30 dni od daty zamówienia.</w:t>
      </w:r>
    </w:p>
    <w:p w14:paraId="7536EF0F" w14:textId="77777777" w:rsidR="003F012A" w:rsidRPr="002901C0" w:rsidRDefault="003F012A" w:rsidP="003F012A">
      <w:pPr>
        <w:pStyle w:val="Akapitzlist"/>
        <w:numPr>
          <w:ilvl w:val="2"/>
          <w:numId w:val="16"/>
        </w:numPr>
        <w:spacing w:after="120" w:line="276" w:lineRule="auto"/>
        <w:ind w:left="1134"/>
        <w:jc w:val="both"/>
        <w:rPr>
          <w:rFonts w:cs="Times New Roman"/>
          <w:sz w:val="20"/>
          <w:szCs w:val="20"/>
        </w:rPr>
      </w:pPr>
      <w:r w:rsidRPr="002901C0">
        <w:rPr>
          <w:rFonts w:cs="Times New Roman"/>
          <w:sz w:val="20"/>
          <w:szCs w:val="20"/>
        </w:rPr>
        <w:t>Interfejs użytkownika prezentujący stan procesorów tkankowych - w szczególności stan pracy procesora, zawartość, czas pracy programu procesora, informacja o przekroczeniu lub nieosiągnięciu planowanego czasu pracy, informacja o alarmach (i ich poziomach istotności).</w:t>
      </w:r>
    </w:p>
    <w:p w14:paraId="577DFD39" w14:textId="77777777" w:rsidR="003F012A" w:rsidRPr="002901C0" w:rsidRDefault="003F012A" w:rsidP="003F012A">
      <w:pPr>
        <w:pStyle w:val="Akapitzlist"/>
        <w:numPr>
          <w:ilvl w:val="2"/>
          <w:numId w:val="16"/>
        </w:numPr>
        <w:spacing w:after="120" w:line="276" w:lineRule="auto"/>
        <w:ind w:left="1134"/>
        <w:jc w:val="both"/>
        <w:rPr>
          <w:rFonts w:cs="Times New Roman"/>
          <w:sz w:val="20"/>
          <w:szCs w:val="20"/>
        </w:rPr>
      </w:pPr>
      <w:r w:rsidRPr="002901C0">
        <w:rPr>
          <w:rFonts w:cs="Times New Roman"/>
          <w:sz w:val="20"/>
          <w:szCs w:val="20"/>
        </w:rPr>
        <w:t>Możliwość przypisania kasetki histopatologicznej do koszyka procesora tkankowego.</w:t>
      </w:r>
    </w:p>
    <w:p w14:paraId="17684768" w14:textId="77777777" w:rsidR="003F012A" w:rsidRPr="002901C0" w:rsidRDefault="003F012A" w:rsidP="003F012A">
      <w:pPr>
        <w:pStyle w:val="Akapitzlist"/>
        <w:numPr>
          <w:ilvl w:val="2"/>
          <w:numId w:val="16"/>
        </w:numPr>
        <w:spacing w:after="120" w:line="276" w:lineRule="auto"/>
        <w:ind w:left="1134"/>
        <w:jc w:val="both"/>
        <w:rPr>
          <w:rFonts w:cs="Times New Roman"/>
          <w:sz w:val="20"/>
          <w:szCs w:val="20"/>
        </w:rPr>
      </w:pPr>
      <w:r w:rsidRPr="002901C0">
        <w:rPr>
          <w:rFonts w:cs="Times New Roman"/>
          <w:sz w:val="20"/>
          <w:szCs w:val="20"/>
        </w:rPr>
        <w:t>Możliwość przypisania koszyka procesora tkankowego do procesora tkankowego (wsad materiału do procesora) i typu programu procesora.</w:t>
      </w:r>
    </w:p>
    <w:p w14:paraId="16881024" w14:textId="77777777" w:rsidR="003F012A" w:rsidRPr="002901C0" w:rsidRDefault="003F012A" w:rsidP="003F012A">
      <w:pPr>
        <w:pStyle w:val="Akapitzlist"/>
        <w:numPr>
          <w:ilvl w:val="2"/>
          <w:numId w:val="16"/>
        </w:numPr>
        <w:spacing w:after="120" w:line="276" w:lineRule="auto"/>
        <w:ind w:left="1134"/>
        <w:jc w:val="both"/>
        <w:rPr>
          <w:rFonts w:cs="Times New Roman"/>
          <w:sz w:val="20"/>
          <w:szCs w:val="20"/>
        </w:rPr>
      </w:pPr>
      <w:r w:rsidRPr="002901C0">
        <w:rPr>
          <w:rFonts w:cs="Times New Roman"/>
          <w:sz w:val="20"/>
          <w:szCs w:val="20"/>
        </w:rPr>
        <w:lastRenderedPageBreak/>
        <w:t>Możliwość ręcznego hurtowego dodania zdarzenia kontroli jakości wraz z opisem do wszystkich kasetek znajdujących się w procesorze.</w:t>
      </w:r>
    </w:p>
    <w:p w14:paraId="7CDFE0C2" w14:textId="77777777" w:rsidR="003F012A" w:rsidRPr="002901C0" w:rsidRDefault="003F012A" w:rsidP="003F012A">
      <w:pPr>
        <w:pStyle w:val="Akapitzlist"/>
        <w:numPr>
          <w:ilvl w:val="2"/>
          <w:numId w:val="16"/>
        </w:numPr>
        <w:spacing w:after="120" w:line="276" w:lineRule="auto"/>
        <w:ind w:left="1134"/>
        <w:jc w:val="both"/>
        <w:rPr>
          <w:rFonts w:cs="Times New Roman"/>
          <w:sz w:val="20"/>
          <w:szCs w:val="20"/>
        </w:rPr>
      </w:pPr>
      <w:r w:rsidRPr="002901C0">
        <w:rPr>
          <w:rFonts w:cs="Times New Roman"/>
          <w:sz w:val="20"/>
          <w:szCs w:val="20"/>
        </w:rPr>
        <w:t>Współpraca z procesorami tkankowymi wraz z integracją z funkcjonalnością śledzenia próbki w oferowanym systemie. System musi odnotowywać, w którym koszyku i procesorze kasetka była procesowana, kiedy i przez kogo oraz jakie wystąpiły ew. błędy kontroli jakości.</w:t>
      </w:r>
    </w:p>
    <w:p w14:paraId="33BE6EB5" w14:textId="77777777" w:rsidR="003F012A" w:rsidRPr="002901C0" w:rsidRDefault="003F012A" w:rsidP="003F012A">
      <w:pPr>
        <w:pStyle w:val="Akapitzlist"/>
        <w:numPr>
          <w:ilvl w:val="2"/>
          <w:numId w:val="16"/>
        </w:numPr>
        <w:spacing w:after="120" w:line="276" w:lineRule="auto"/>
        <w:ind w:left="1134"/>
        <w:jc w:val="both"/>
        <w:rPr>
          <w:rFonts w:cs="Times New Roman"/>
          <w:sz w:val="20"/>
          <w:szCs w:val="20"/>
        </w:rPr>
      </w:pPr>
      <w:r w:rsidRPr="002901C0">
        <w:rPr>
          <w:rFonts w:cs="Times New Roman"/>
          <w:sz w:val="20"/>
          <w:szCs w:val="20"/>
        </w:rPr>
        <w:t>Interfejs integracyjny z procesorami umożliwiający automatyczne (tj. niewymagające interakcji ze strony użytkownika) określenie stanu uruchomienia procesora oraz występujących alarmów. Informacje odczytane z procesorów powinny być prezentowane w oferowanym Systemie.</w:t>
      </w:r>
    </w:p>
    <w:p w14:paraId="2BA9F5BD" w14:textId="77777777" w:rsidR="003F012A" w:rsidRPr="002901C0" w:rsidRDefault="003F012A" w:rsidP="003F012A">
      <w:pPr>
        <w:pStyle w:val="Akapitzlist"/>
        <w:numPr>
          <w:ilvl w:val="2"/>
          <w:numId w:val="16"/>
        </w:numPr>
        <w:spacing w:after="120" w:line="276" w:lineRule="auto"/>
        <w:ind w:left="1134"/>
        <w:jc w:val="both"/>
        <w:rPr>
          <w:rFonts w:cs="Times New Roman"/>
          <w:sz w:val="20"/>
          <w:szCs w:val="20"/>
        </w:rPr>
      </w:pPr>
      <w:r w:rsidRPr="002901C0">
        <w:rPr>
          <w:rFonts w:cs="Times New Roman"/>
          <w:sz w:val="20"/>
          <w:szCs w:val="20"/>
        </w:rPr>
        <w:t>Błędy czasu pracy procesora oraz alarmy krytyczne powinny być prezentowane w kontekście kasetki histopatologicznej, która była częścią danego procesu.</w:t>
      </w:r>
    </w:p>
    <w:p w14:paraId="32452149" w14:textId="77777777" w:rsidR="003F012A" w:rsidRPr="002901C0" w:rsidRDefault="003F012A" w:rsidP="003F012A">
      <w:pPr>
        <w:pStyle w:val="Akapitzlist"/>
        <w:numPr>
          <w:ilvl w:val="2"/>
          <w:numId w:val="16"/>
        </w:numPr>
        <w:spacing w:after="120" w:line="276" w:lineRule="auto"/>
        <w:ind w:left="1134"/>
        <w:jc w:val="both"/>
        <w:rPr>
          <w:rFonts w:cs="Times New Roman"/>
          <w:sz w:val="20"/>
          <w:szCs w:val="20"/>
        </w:rPr>
      </w:pPr>
      <w:r w:rsidRPr="002901C0">
        <w:rPr>
          <w:rFonts w:cs="Times New Roman"/>
          <w:sz w:val="20"/>
          <w:szCs w:val="20"/>
        </w:rPr>
        <w:t>Możliwość automatycznego wysłania wiadomości SMS oraz wykonania głosowego połączenia telefonicznego na określone numery w przypadku wystąpienia alarmu krytycznego procesora odczytywanego z portu RS232 procesora oraz styków bezpotencjałowych. Kartę SIM do wykonywania opisanych połączeń zapewnia Zamawiający.</w:t>
      </w:r>
    </w:p>
    <w:p w14:paraId="211ACE41"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Współpraca z pH-metrami</w:t>
      </w:r>
    </w:p>
    <w:p w14:paraId="1C675A33" w14:textId="77777777" w:rsidR="003F012A" w:rsidRPr="002901C0" w:rsidRDefault="003F012A" w:rsidP="003F012A">
      <w:pPr>
        <w:pStyle w:val="Akapitzlist"/>
        <w:numPr>
          <w:ilvl w:val="2"/>
          <w:numId w:val="14"/>
        </w:numPr>
        <w:spacing w:after="120" w:line="276" w:lineRule="auto"/>
        <w:ind w:left="993"/>
        <w:jc w:val="both"/>
        <w:rPr>
          <w:rFonts w:cs="Times New Roman"/>
          <w:sz w:val="20"/>
          <w:szCs w:val="20"/>
        </w:rPr>
      </w:pPr>
      <w:bookmarkStart w:id="26" w:name="_Ref177024841"/>
      <w:r w:rsidRPr="002901C0">
        <w:rPr>
          <w:rFonts w:cs="Times New Roman"/>
          <w:sz w:val="20"/>
          <w:szCs w:val="20"/>
        </w:rPr>
        <w:t>Współpraca z pH-metrami do pomiaru pH substancji utrwalającej (np. formaliny) podłączanymi do stanowiska komputerowego z uruchomionym systemem.</w:t>
      </w:r>
      <w:bookmarkEnd w:id="26"/>
    </w:p>
    <w:p w14:paraId="43FC0E0D" w14:textId="77777777" w:rsidR="003F012A" w:rsidRPr="002901C0" w:rsidRDefault="003F012A" w:rsidP="003F012A">
      <w:pPr>
        <w:pStyle w:val="Akapitzlist"/>
        <w:numPr>
          <w:ilvl w:val="2"/>
          <w:numId w:val="14"/>
        </w:numPr>
        <w:spacing w:after="120" w:line="276" w:lineRule="auto"/>
        <w:ind w:left="993"/>
        <w:jc w:val="both"/>
        <w:rPr>
          <w:rFonts w:cs="Times New Roman"/>
          <w:sz w:val="20"/>
          <w:szCs w:val="20"/>
        </w:rPr>
      </w:pPr>
      <w:r w:rsidRPr="002901C0">
        <w:rPr>
          <w:rFonts w:cs="Times New Roman"/>
          <w:sz w:val="20"/>
          <w:szCs w:val="20"/>
        </w:rPr>
        <w:t>Możliwość zdefiniowania częstotliwości losowania do pomiaru pH zdefiniowanych typów materiałów i substancji utrwalających, a także dopuszczalnego prawidłowego zakresu pomiarowego z dokładnością do 2 miejsc po przecinku.</w:t>
      </w:r>
    </w:p>
    <w:p w14:paraId="37B3D30D" w14:textId="77777777" w:rsidR="003F012A" w:rsidRPr="002901C0" w:rsidRDefault="003F012A" w:rsidP="003F012A">
      <w:pPr>
        <w:pStyle w:val="Akapitzlist"/>
        <w:numPr>
          <w:ilvl w:val="2"/>
          <w:numId w:val="14"/>
        </w:numPr>
        <w:spacing w:after="120" w:line="276" w:lineRule="auto"/>
        <w:ind w:left="993"/>
        <w:jc w:val="both"/>
        <w:rPr>
          <w:rFonts w:cs="Times New Roman"/>
          <w:sz w:val="20"/>
          <w:szCs w:val="20"/>
        </w:rPr>
      </w:pPr>
      <w:bookmarkStart w:id="27" w:name="_Ref177024857"/>
      <w:r w:rsidRPr="002901C0">
        <w:rPr>
          <w:rFonts w:cs="Times New Roman"/>
          <w:sz w:val="20"/>
          <w:szCs w:val="20"/>
        </w:rPr>
        <w:t>System musi zapobiegać podjęcia dalszych czynności na materiale (np. wykrawania materiału) do momentu uzyskania pomiaru pH, o ile materiał został wylosowany przez system do pomiaru pH.</w:t>
      </w:r>
      <w:bookmarkEnd w:id="27"/>
    </w:p>
    <w:p w14:paraId="08B47AC2" w14:textId="77777777" w:rsidR="003F012A" w:rsidRPr="002901C0" w:rsidRDefault="003F012A" w:rsidP="003F012A">
      <w:pPr>
        <w:pStyle w:val="Akapitzlist"/>
        <w:numPr>
          <w:ilvl w:val="2"/>
          <w:numId w:val="14"/>
        </w:numPr>
        <w:spacing w:after="120" w:line="276" w:lineRule="auto"/>
        <w:ind w:left="993"/>
        <w:jc w:val="both"/>
        <w:rPr>
          <w:rFonts w:cs="Times New Roman"/>
          <w:sz w:val="20"/>
          <w:szCs w:val="20"/>
        </w:rPr>
      </w:pPr>
      <w:bookmarkStart w:id="28" w:name="_Ref177024869"/>
      <w:r w:rsidRPr="002901C0">
        <w:rPr>
          <w:rFonts w:cs="Times New Roman"/>
          <w:sz w:val="20"/>
          <w:szCs w:val="20"/>
        </w:rPr>
        <w:t>Automatyczne pobieranie wyniku pomiaru z urządzenia z dokładnością do 2 miejsc po przecinku, w momencie wykonywania pomiaru i zapis jego wartości w kontekście materiału przy użyciu dedykowanej funkcji stanowiskowej oraz w formatce ekranowej związanej z edycją materiału.</w:t>
      </w:r>
      <w:bookmarkEnd w:id="28"/>
    </w:p>
    <w:p w14:paraId="0ED62093" w14:textId="77777777" w:rsidR="003F012A" w:rsidRPr="002901C0" w:rsidRDefault="003F012A" w:rsidP="003F012A">
      <w:pPr>
        <w:pStyle w:val="Akapitzlist"/>
        <w:numPr>
          <w:ilvl w:val="2"/>
          <w:numId w:val="14"/>
        </w:numPr>
        <w:spacing w:after="120" w:line="276" w:lineRule="auto"/>
        <w:ind w:left="993"/>
        <w:jc w:val="both"/>
        <w:rPr>
          <w:rFonts w:cs="Times New Roman"/>
          <w:sz w:val="20"/>
          <w:szCs w:val="20"/>
        </w:rPr>
      </w:pPr>
      <w:r w:rsidRPr="002901C0">
        <w:rPr>
          <w:rFonts w:cs="Times New Roman"/>
          <w:sz w:val="20"/>
          <w:szCs w:val="20"/>
        </w:rPr>
        <w:t>Automatyczne dodanie zdarzenia kontroli jakości w przypadku, gdy zmierzona wartość pH wykracza poza zdefiniowany dla danego typu materiału prawidłowy zakres.</w:t>
      </w:r>
    </w:p>
    <w:p w14:paraId="47AC4E71" w14:textId="77777777" w:rsidR="003F012A" w:rsidRPr="002901C0" w:rsidRDefault="003F012A" w:rsidP="003F012A">
      <w:pPr>
        <w:pStyle w:val="Akapitzlist"/>
        <w:numPr>
          <w:ilvl w:val="2"/>
          <w:numId w:val="14"/>
        </w:numPr>
        <w:spacing w:after="120" w:line="276" w:lineRule="auto"/>
        <w:ind w:left="993"/>
        <w:jc w:val="both"/>
        <w:rPr>
          <w:rFonts w:cs="Times New Roman"/>
          <w:sz w:val="20"/>
          <w:szCs w:val="20"/>
        </w:rPr>
      </w:pPr>
      <w:bookmarkStart w:id="29" w:name="_Ref177024880"/>
      <w:r w:rsidRPr="002901C0">
        <w:rPr>
          <w:rFonts w:cs="Times New Roman"/>
          <w:sz w:val="20"/>
          <w:szCs w:val="20"/>
        </w:rPr>
        <w:t>Automatyczne dodanie informacyjnego zdarzenia kontroli jakości w przypadku, gdy zmierzona wartość pH mieści się w zdefiniowanym dla danego typu materiału prawidłowym zakresie.</w:t>
      </w:r>
      <w:bookmarkEnd w:id="29"/>
    </w:p>
    <w:p w14:paraId="384A10E1" w14:textId="77777777" w:rsidR="003F012A" w:rsidRPr="002901C0" w:rsidRDefault="003F012A" w:rsidP="003F012A">
      <w:pPr>
        <w:pStyle w:val="Akapitzlist"/>
        <w:numPr>
          <w:ilvl w:val="1"/>
          <w:numId w:val="14"/>
        </w:numPr>
        <w:spacing w:after="120" w:line="276" w:lineRule="auto"/>
        <w:ind w:left="567"/>
        <w:jc w:val="both"/>
        <w:rPr>
          <w:rFonts w:cs="Times New Roman"/>
          <w:sz w:val="20"/>
          <w:szCs w:val="20"/>
        </w:rPr>
      </w:pPr>
      <w:r w:rsidRPr="002901C0">
        <w:rPr>
          <w:rFonts w:cs="Times New Roman"/>
          <w:sz w:val="20"/>
          <w:szCs w:val="20"/>
        </w:rPr>
        <w:t>Współpraca z systemem do makrofotografii i telekonferencji</w:t>
      </w:r>
    </w:p>
    <w:p w14:paraId="0C765AB0" w14:textId="77777777" w:rsidR="003F012A" w:rsidRPr="002901C0" w:rsidRDefault="003F012A" w:rsidP="003F012A">
      <w:pPr>
        <w:pStyle w:val="Akapitzlist"/>
        <w:numPr>
          <w:ilvl w:val="2"/>
          <w:numId w:val="14"/>
        </w:numPr>
        <w:spacing w:after="120" w:line="276" w:lineRule="auto"/>
        <w:ind w:left="993"/>
        <w:jc w:val="both"/>
        <w:rPr>
          <w:rFonts w:cs="Times New Roman"/>
          <w:sz w:val="20"/>
          <w:szCs w:val="20"/>
        </w:rPr>
      </w:pPr>
      <w:r w:rsidRPr="002901C0">
        <w:rPr>
          <w:rFonts w:cs="Times New Roman"/>
          <w:sz w:val="20"/>
          <w:szCs w:val="20"/>
        </w:rPr>
        <w:t>System musi umożliwiać integrację z systemami do makrofotografii i telekonferencji podłączonymi do stanowiska komputerowego z uruchomionym systemem.</w:t>
      </w:r>
    </w:p>
    <w:p w14:paraId="3381C856" w14:textId="77777777" w:rsidR="003F012A" w:rsidRPr="002901C0" w:rsidRDefault="003F012A" w:rsidP="003F012A">
      <w:pPr>
        <w:pStyle w:val="Akapitzlist"/>
        <w:numPr>
          <w:ilvl w:val="2"/>
          <w:numId w:val="14"/>
        </w:numPr>
        <w:spacing w:after="120" w:line="276" w:lineRule="auto"/>
        <w:ind w:left="993"/>
        <w:jc w:val="both"/>
        <w:rPr>
          <w:rFonts w:cs="Times New Roman"/>
          <w:sz w:val="20"/>
          <w:szCs w:val="20"/>
        </w:rPr>
      </w:pPr>
      <w:r w:rsidRPr="002901C0">
        <w:rPr>
          <w:rFonts w:cs="Times New Roman"/>
          <w:sz w:val="20"/>
          <w:szCs w:val="20"/>
        </w:rPr>
        <w:t>Możliwość dołączenia zdjęcia obrazu makroskopowego pobranego w kontekście wykrawanego materiału z systemu dokumentacji makroskopowej.</w:t>
      </w:r>
    </w:p>
    <w:p w14:paraId="14EF6024" w14:textId="77777777" w:rsidR="003F012A" w:rsidRPr="002901C0" w:rsidRDefault="003F012A" w:rsidP="003F012A">
      <w:pPr>
        <w:pStyle w:val="Akapitzlist"/>
        <w:numPr>
          <w:ilvl w:val="2"/>
          <w:numId w:val="14"/>
        </w:numPr>
        <w:spacing w:after="120" w:line="276" w:lineRule="auto"/>
        <w:ind w:left="993"/>
        <w:jc w:val="both"/>
        <w:rPr>
          <w:rFonts w:cs="Times New Roman"/>
          <w:sz w:val="20"/>
          <w:szCs w:val="20"/>
        </w:rPr>
      </w:pPr>
      <w:r w:rsidRPr="002901C0">
        <w:rPr>
          <w:rFonts w:cs="Times New Roman"/>
          <w:sz w:val="20"/>
          <w:szCs w:val="20"/>
        </w:rPr>
        <w:t>Możliwość sterowania głowicą kamery z poziomu dedykowanej aplikacji, bez konieczności dotykania kamery.</w:t>
      </w:r>
    </w:p>
    <w:p w14:paraId="3E47F0D6" w14:textId="77777777" w:rsidR="003F012A" w:rsidRPr="002901C0" w:rsidRDefault="003F012A" w:rsidP="003F012A">
      <w:pPr>
        <w:pStyle w:val="Akapitzlist"/>
        <w:numPr>
          <w:ilvl w:val="2"/>
          <w:numId w:val="14"/>
        </w:numPr>
        <w:spacing w:after="120" w:line="276" w:lineRule="auto"/>
        <w:ind w:left="993"/>
        <w:jc w:val="both"/>
        <w:rPr>
          <w:rFonts w:cs="Times New Roman"/>
          <w:sz w:val="20"/>
          <w:szCs w:val="20"/>
        </w:rPr>
      </w:pPr>
      <w:r w:rsidRPr="002901C0">
        <w:rPr>
          <w:rFonts w:cs="Times New Roman"/>
          <w:sz w:val="20"/>
          <w:szCs w:val="20"/>
        </w:rPr>
        <w:t>Możliwość pracy pełnoekranowej z wyświetlaniem aplikacji na drugim monitorze, pozwalające na równoległą pracę z systemem laboratoryjnym.</w:t>
      </w:r>
    </w:p>
    <w:p w14:paraId="68EF1E93" w14:textId="77777777" w:rsidR="003F012A" w:rsidRPr="002901C0" w:rsidRDefault="003F012A" w:rsidP="003F012A">
      <w:pPr>
        <w:pStyle w:val="Akapitzlist"/>
        <w:numPr>
          <w:ilvl w:val="2"/>
          <w:numId w:val="14"/>
        </w:numPr>
        <w:spacing w:after="120" w:line="276" w:lineRule="auto"/>
        <w:ind w:left="993"/>
        <w:jc w:val="both"/>
        <w:rPr>
          <w:rFonts w:cs="Times New Roman"/>
          <w:sz w:val="20"/>
          <w:szCs w:val="20"/>
        </w:rPr>
      </w:pPr>
      <w:r w:rsidRPr="002901C0">
        <w:rPr>
          <w:rFonts w:cs="Times New Roman"/>
          <w:sz w:val="20"/>
          <w:szCs w:val="20"/>
        </w:rPr>
        <w:t>Możliwość utworzenia telekonferencji między stanowiskiem wykrawania materiału w dygestorium, a patomorfologami pracującymi zdalnie.</w:t>
      </w:r>
    </w:p>
    <w:p w14:paraId="3874EFA1" w14:textId="77777777" w:rsidR="003F012A" w:rsidRPr="002901C0" w:rsidRDefault="003F012A" w:rsidP="003F012A">
      <w:pPr>
        <w:pStyle w:val="Akapitzlist"/>
        <w:numPr>
          <w:ilvl w:val="2"/>
          <w:numId w:val="14"/>
        </w:numPr>
        <w:spacing w:after="120" w:line="276" w:lineRule="auto"/>
        <w:ind w:left="993"/>
        <w:jc w:val="both"/>
        <w:rPr>
          <w:rFonts w:cs="Times New Roman"/>
          <w:sz w:val="20"/>
          <w:szCs w:val="20"/>
        </w:rPr>
      </w:pPr>
      <w:r w:rsidRPr="002901C0">
        <w:rPr>
          <w:rFonts w:cs="Times New Roman"/>
          <w:sz w:val="20"/>
          <w:szCs w:val="20"/>
        </w:rPr>
        <w:t>System musi umożliwiać stworzenie dodatkowych pokojów konferencyjnych.</w:t>
      </w:r>
    </w:p>
    <w:p w14:paraId="7919C17C" w14:textId="77777777" w:rsidR="003F012A" w:rsidRPr="002901C0" w:rsidRDefault="003F012A" w:rsidP="003F012A">
      <w:pPr>
        <w:pStyle w:val="Akapitzlist"/>
        <w:numPr>
          <w:ilvl w:val="2"/>
          <w:numId w:val="14"/>
        </w:numPr>
        <w:spacing w:after="120" w:line="276" w:lineRule="auto"/>
        <w:ind w:left="993"/>
        <w:jc w:val="both"/>
        <w:rPr>
          <w:rFonts w:cs="Times New Roman"/>
          <w:sz w:val="20"/>
          <w:szCs w:val="20"/>
        </w:rPr>
      </w:pPr>
      <w:r w:rsidRPr="002901C0">
        <w:rPr>
          <w:rFonts w:cs="Times New Roman"/>
          <w:sz w:val="20"/>
          <w:szCs w:val="20"/>
        </w:rPr>
        <w:t>Możliwość dostęp do pokoju konferencyjnego z poziomu menu głównego systemu.</w:t>
      </w:r>
    </w:p>
    <w:p w14:paraId="6C20B59E" w14:textId="77777777" w:rsidR="003F012A" w:rsidRPr="00F00484" w:rsidRDefault="003F012A" w:rsidP="003F012A">
      <w:pPr>
        <w:pStyle w:val="Akapitzlist"/>
        <w:numPr>
          <w:ilvl w:val="2"/>
          <w:numId w:val="14"/>
        </w:numPr>
        <w:spacing w:after="120" w:line="276" w:lineRule="auto"/>
        <w:ind w:left="993"/>
        <w:jc w:val="both"/>
        <w:rPr>
          <w:rFonts w:cs="Times New Roman"/>
          <w:sz w:val="20"/>
          <w:szCs w:val="20"/>
        </w:rPr>
      </w:pPr>
      <w:r w:rsidRPr="00F00484">
        <w:rPr>
          <w:rFonts w:cs="Times New Roman"/>
          <w:sz w:val="20"/>
          <w:szCs w:val="20"/>
        </w:rPr>
        <w:t>Funkcjonalność nie jest przedmiotem niniejszego zamówienia i zostanie uruchomiona na rzecz Zamawiającego w ramach odrębnego postępowania.</w:t>
      </w:r>
    </w:p>
    <w:p w14:paraId="7F3A5E46" w14:textId="3A935AD3" w:rsidR="003F012A" w:rsidRPr="002901C0" w:rsidRDefault="003F012A" w:rsidP="007942C7">
      <w:pPr>
        <w:jc w:val="center"/>
        <w:rPr>
          <w:rFonts w:cs="Times New Roman"/>
          <w:b/>
          <w:bCs/>
          <w:sz w:val="20"/>
          <w:szCs w:val="20"/>
        </w:rPr>
      </w:pPr>
      <w:r w:rsidRPr="002901C0">
        <w:rPr>
          <w:rFonts w:cs="Times New Roman"/>
          <w:b/>
          <w:bCs/>
          <w:sz w:val="20"/>
          <w:szCs w:val="20"/>
        </w:rPr>
        <w:lastRenderedPageBreak/>
        <w:t>MODUŁ - MAGAZYN ODCZYNNIKÓW I MATERIAŁÓW:</w:t>
      </w:r>
    </w:p>
    <w:p w14:paraId="7D3FAFD8" w14:textId="77777777" w:rsidR="003F012A" w:rsidRPr="002901C0" w:rsidRDefault="003F012A" w:rsidP="003F012A">
      <w:pPr>
        <w:pStyle w:val="Akapitzlist"/>
        <w:numPr>
          <w:ilvl w:val="0"/>
          <w:numId w:val="17"/>
        </w:numPr>
        <w:spacing w:after="120" w:line="276" w:lineRule="auto"/>
        <w:ind w:left="426" w:hanging="425"/>
        <w:jc w:val="both"/>
        <w:rPr>
          <w:rFonts w:cs="Times New Roman"/>
          <w:sz w:val="20"/>
          <w:szCs w:val="20"/>
        </w:rPr>
      </w:pPr>
      <w:r w:rsidRPr="002901C0">
        <w:rPr>
          <w:rFonts w:cs="Times New Roman"/>
          <w:sz w:val="20"/>
          <w:szCs w:val="20"/>
        </w:rPr>
        <w:t>Definiowanie dowolnej liczby magazynów i przyznawanie uprawnień do nich poszczególnym użytkownikom.</w:t>
      </w:r>
    </w:p>
    <w:p w14:paraId="0F49DA72" w14:textId="77777777" w:rsidR="003F012A" w:rsidRPr="002901C0" w:rsidRDefault="003F012A" w:rsidP="003F012A">
      <w:pPr>
        <w:pStyle w:val="Akapitzlist"/>
        <w:numPr>
          <w:ilvl w:val="0"/>
          <w:numId w:val="17"/>
        </w:numPr>
        <w:spacing w:before="120" w:after="120" w:line="276" w:lineRule="auto"/>
        <w:ind w:left="425" w:hanging="425"/>
        <w:jc w:val="both"/>
        <w:rPr>
          <w:rFonts w:cs="Times New Roman"/>
          <w:sz w:val="20"/>
          <w:szCs w:val="20"/>
        </w:rPr>
      </w:pPr>
      <w:r w:rsidRPr="002901C0">
        <w:rPr>
          <w:rFonts w:cs="Times New Roman"/>
          <w:sz w:val="20"/>
          <w:szCs w:val="20"/>
        </w:rPr>
        <w:t>Definiowanie pozycji magazynowej wraz z określeniem:</w:t>
      </w:r>
    </w:p>
    <w:p w14:paraId="1F4E0D53" w14:textId="77777777" w:rsidR="003F012A" w:rsidRPr="002901C0" w:rsidRDefault="003F012A" w:rsidP="003F012A">
      <w:pPr>
        <w:pStyle w:val="Akapitzlist"/>
        <w:numPr>
          <w:ilvl w:val="0"/>
          <w:numId w:val="18"/>
        </w:numPr>
        <w:spacing w:after="120" w:line="240" w:lineRule="auto"/>
        <w:ind w:left="714" w:hanging="357"/>
        <w:jc w:val="both"/>
        <w:rPr>
          <w:rFonts w:cs="Times New Roman"/>
          <w:sz w:val="20"/>
          <w:szCs w:val="20"/>
        </w:rPr>
      </w:pPr>
      <w:r w:rsidRPr="002901C0">
        <w:rPr>
          <w:rFonts w:cs="Times New Roman"/>
          <w:sz w:val="20"/>
          <w:szCs w:val="20"/>
        </w:rPr>
        <w:t>pełnej nazwy,</w:t>
      </w:r>
    </w:p>
    <w:p w14:paraId="1061EEB0" w14:textId="77777777" w:rsidR="003F012A" w:rsidRPr="002901C0" w:rsidRDefault="003F012A" w:rsidP="003F012A">
      <w:pPr>
        <w:pStyle w:val="Akapitzlist"/>
        <w:numPr>
          <w:ilvl w:val="0"/>
          <w:numId w:val="18"/>
        </w:numPr>
        <w:spacing w:after="120" w:line="240" w:lineRule="auto"/>
        <w:ind w:left="714" w:hanging="357"/>
        <w:jc w:val="both"/>
        <w:rPr>
          <w:rFonts w:cs="Times New Roman"/>
          <w:sz w:val="20"/>
          <w:szCs w:val="20"/>
        </w:rPr>
      </w:pPr>
      <w:r w:rsidRPr="002901C0">
        <w:rPr>
          <w:rFonts w:cs="Times New Roman"/>
          <w:sz w:val="20"/>
          <w:szCs w:val="20"/>
        </w:rPr>
        <w:t>skróconej nazwy (wykorzystywanej np. do oznaczenia),</w:t>
      </w:r>
    </w:p>
    <w:p w14:paraId="180E9EFF" w14:textId="77777777" w:rsidR="003F012A" w:rsidRPr="002901C0" w:rsidRDefault="003F012A" w:rsidP="003F012A">
      <w:pPr>
        <w:pStyle w:val="Akapitzlist"/>
        <w:numPr>
          <w:ilvl w:val="0"/>
          <w:numId w:val="18"/>
        </w:numPr>
        <w:spacing w:after="120" w:line="240" w:lineRule="auto"/>
        <w:ind w:left="714" w:hanging="357"/>
        <w:jc w:val="both"/>
        <w:rPr>
          <w:rFonts w:cs="Times New Roman"/>
          <w:sz w:val="20"/>
          <w:szCs w:val="20"/>
        </w:rPr>
      </w:pPr>
      <w:r w:rsidRPr="002901C0">
        <w:rPr>
          <w:rFonts w:cs="Times New Roman"/>
          <w:sz w:val="20"/>
          <w:szCs w:val="20"/>
        </w:rPr>
        <w:t>jednostki miary,</w:t>
      </w:r>
    </w:p>
    <w:p w14:paraId="03F653F0" w14:textId="77777777" w:rsidR="003F012A" w:rsidRPr="002901C0" w:rsidRDefault="003F012A" w:rsidP="003F012A">
      <w:pPr>
        <w:pStyle w:val="Akapitzlist"/>
        <w:numPr>
          <w:ilvl w:val="0"/>
          <w:numId w:val="18"/>
        </w:numPr>
        <w:spacing w:after="120" w:line="240" w:lineRule="auto"/>
        <w:ind w:left="714" w:hanging="357"/>
        <w:jc w:val="both"/>
        <w:rPr>
          <w:rFonts w:cs="Times New Roman"/>
          <w:sz w:val="20"/>
          <w:szCs w:val="20"/>
        </w:rPr>
      </w:pPr>
      <w:r w:rsidRPr="002901C0">
        <w:rPr>
          <w:rFonts w:cs="Times New Roman"/>
          <w:sz w:val="20"/>
          <w:szCs w:val="20"/>
        </w:rPr>
        <w:t>producenta,</w:t>
      </w:r>
    </w:p>
    <w:p w14:paraId="1BFED39D" w14:textId="77777777" w:rsidR="003F012A" w:rsidRPr="002901C0" w:rsidRDefault="003F012A" w:rsidP="003F012A">
      <w:pPr>
        <w:pStyle w:val="Akapitzlist"/>
        <w:numPr>
          <w:ilvl w:val="0"/>
          <w:numId w:val="18"/>
        </w:numPr>
        <w:spacing w:after="120" w:line="240" w:lineRule="auto"/>
        <w:ind w:left="714" w:hanging="357"/>
        <w:jc w:val="both"/>
        <w:rPr>
          <w:rFonts w:cs="Times New Roman"/>
          <w:sz w:val="20"/>
          <w:szCs w:val="20"/>
        </w:rPr>
      </w:pPr>
      <w:r w:rsidRPr="002901C0">
        <w:rPr>
          <w:rFonts w:cs="Times New Roman"/>
          <w:sz w:val="20"/>
          <w:szCs w:val="20"/>
        </w:rPr>
        <w:t>stawki VAT,</w:t>
      </w:r>
    </w:p>
    <w:p w14:paraId="1A08F512" w14:textId="77777777" w:rsidR="003F012A" w:rsidRPr="002901C0" w:rsidRDefault="003F012A" w:rsidP="003F012A">
      <w:pPr>
        <w:pStyle w:val="Akapitzlist"/>
        <w:numPr>
          <w:ilvl w:val="0"/>
          <w:numId w:val="18"/>
        </w:numPr>
        <w:spacing w:after="120" w:line="240" w:lineRule="auto"/>
        <w:ind w:left="714" w:hanging="357"/>
        <w:jc w:val="both"/>
        <w:rPr>
          <w:rFonts w:cs="Times New Roman"/>
          <w:sz w:val="20"/>
          <w:szCs w:val="20"/>
        </w:rPr>
      </w:pPr>
      <w:r w:rsidRPr="002901C0">
        <w:rPr>
          <w:rFonts w:cs="Times New Roman"/>
          <w:sz w:val="20"/>
          <w:szCs w:val="20"/>
        </w:rPr>
        <w:t>numeru katalogowego,</w:t>
      </w:r>
    </w:p>
    <w:p w14:paraId="64AE6E81" w14:textId="77777777" w:rsidR="003F012A" w:rsidRPr="002901C0" w:rsidRDefault="003F012A" w:rsidP="003F012A">
      <w:pPr>
        <w:pStyle w:val="Akapitzlist"/>
        <w:numPr>
          <w:ilvl w:val="0"/>
          <w:numId w:val="18"/>
        </w:numPr>
        <w:spacing w:after="120" w:line="240" w:lineRule="auto"/>
        <w:ind w:left="714" w:hanging="357"/>
        <w:jc w:val="both"/>
        <w:rPr>
          <w:rFonts w:cs="Times New Roman"/>
          <w:sz w:val="20"/>
          <w:szCs w:val="20"/>
        </w:rPr>
      </w:pPr>
      <w:r w:rsidRPr="002901C0">
        <w:rPr>
          <w:rFonts w:cs="Times New Roman"/>
          <w:sz w:val="20"/>
          <w:szCs w:val="20"/>
        </w:rPr>
        <w:t>daty ważności,</w:t>
      </w:r>
    </w:p>
    <w:p w14:paraId="12D24932" w14:textId="77777777" w:rsidR="003F012A" w:rsidRPr="002901C0" w:rsidRDefault="003F012A" w:rsidP="003F012A">
      <w:pPr>
        <w:pStyle w:val="Akapitzlist"/>
        <w:numPr>
          <w:ilvl w:val="0"/>
          <w:numId w:val="18"/>
        </w:numPr>
        <w:spacing w:after="120" w:line="240" w:lineRule="auto"/>
        <w:ind w:left="714" w:hanging="357"/>
        <w:jc w:val="both"/>
        <w:rPr>
          <w:rFonts w:cs="Times New Roman"/>
          <w:sz w:val="20"/>
          <w:szCs w:val="20"/>
        </w:rPr>
      </w:pPr>
      <w:r w:rsidRPr="002901C0">
        <w:rPr>
          <w:rFonts w:cs="Times New Roman"/>
          <w:sz w:val="20"/>
          <w:szCs w:val="20"/>
        </w:rPr>
        <w:t>poziomu stanu ostrzegawczego oraz poziomu stanu krytycznego w odniesieniu do wskazanego magazynu.</w:t>
      </w:r>
    </w:p>
    <w:p w14:paraId="284EC015" w14:textId="77777777" w:rsidR="003F012A" w:rsidRPr="002901C0" w:rsidRDefault="003F012A" w:rsidP="003F012A">
      <w:pPr>
        <w:pStyle w:val="Akapitzlist"/>
        <w:numPr>
          <w:ilvl w:val="0"/>
          <w:numId w:val="17"/>
        </w:numPr>
        <w:spacing w:after="120" w:line="276" w:lineRule="auto"/>
        <w:ind w:left="426" w:hanging="425"/>
        <w:jc w:val="both"/>
        <w:rPr>
          <w:rFonts w:cs="Times New Roman"/>
          <w:sz w:val="20"/>
          <w:szCs w:val="20"/>
        </w:rPr>
      </w:pPr>
      <w:r w:rsidRPr="002901C0">
        <w:rPr>
          <w:rFonts w:cs="Times New Roman"/>
          <w:sz w:val="20"/>
          <w:szCs w:val="20"/>
        </w:rPr>
        <w:t>Przyjmowanie pozycji magazynowej wraz z numerem serii, terminem ważności i wydrukiem unikatowej nalepki z kodem kreskowym i indywidualnym numerem.</w:t>
      </w:r>
    </w:p>
    <w:p w14:paraId="702BB2F4" w14:textId="77777777" w:rsidR="003F012A" w:rsidRPr="002901C0" w:rsidRDefault="003F012A" w:rsidP="003F012A">
      <w:pPr>
        <w:pStyle w:val="Akapitzlist"/>
        <w:numPr>
          <w:ilvl w:val="0"/>
          <w:numId w:val="17"/>
        </w:numPr>
        <w:spacing w:after="120" w:line="276" w:lineRule="auto"/>
        <w:ind w:left="426" w:hanging="425"/>
        <w:jc w:val="both"/>
        <w:rPr>
          <w:rFonts w:cs="Times New Roman"/>
          <w:sz w:val="20"/>
          <w:szCs w:val="20"/>
        </w:rPr>
      </w:pPr>
      <w:r w:rsidRPr="002901C0">
        <w:rPr>
          <w:rFonts w:cs="Times New Roman"/>
          <w:sz w:val="20"/>
          <w:szCs w:val="20"/>
        </w:rPr>
        <w:tab/>
        <w:t>Konfiguracja towarów i ich obsługa z wykorzystaniem niepowtarzalnych kodów identyfikacyjnych wyrobu UDI - np. format UDI w standardzie GS1.</w:t>
      </w:r>
    </w:p>
    <w:p w14:paraId="577D25DD" w14:textId="77777777" w:rsidR="003F012A" w:rsidRPr="002901C0" w:rsidRDefault="003F012A" w:rsidP="003F012A">
      <w:pPr>
        <w:pStyle w:val="Akapitzlist"/>
        <w:numPr>
          <w:ilvl w:val="0"/>
          <w:numId w:val="17"/>
        </w:numPr>
        <w:spacing w:after="120" w:line="276" w:lineRule="auto"/>
        <w:ind w:left="426" w:hanging="425"/>
        <w:jc w:val="both"/>
        <w:rPr>
          <w:rFonts w:cs="Times New Roman"/>
          <w:sz w:val="20"/>
          <w:szCs w:val="20"/>
        </w:rPr>
      </w:pPr>
      <w:r w:rsidRPr="002901C0">
        <w:rPr>
          <w:rFonts w:cs="Times New Roman"/>
          <w:sz w:val="20"/>
          <w:szCs w:val="20"/>
        </w:rPr>
        <w:t>Wydawanie pozycji magazynowej do rozchodu z zabezpieczeniem przed wydaniem sztuki o dłuższym terminie ważności, jeżeli w magazynie istnieją sztuki z krótszym terminem ważności. Dodawanie pozycji do rozchodu na podstawie kodu lub numeru z nalepki.</w:t>
      </w:r>
    </w:p>
    <w:p w14:paraId="7722666C" w14:textId="77777777" w:rsidR="003F012A" w:rsidRPr="002901C0" w:rsidRDefault="003F012A" w:rsidP="003F012A">
      <w:pPr>
        <w:pStyle w:val="Akapitzlist"/>
        <w:numPr>
          <w:ilvl w:val="0"/>
          <w:numId w:val="17"/>
        </w:numPr>
        <w:spacing w:after="120" w:line="276" w:lineRule="auto"/>
        <w:ind w:left="426" w:hanging="425"/>
        <w:jc w:val="both"/>
        <w:rPr>
          <w:rFonts w:cs="Times New Roman"/>
          <w:sz w:val="20"/>
          <w:szCs w:val="20"/>
        </w:rPr>
      </w:pPr>
      <w:r w:rsidRPr="002901C0">
        <w:rPr>
          <w:rFonts w:cs="Times New Roman"/>
          <w:sz w:val="20"/>
          <w:szCs w:val="20"/>
        </w:rPr>
        <w:t>Produkcja recepturowa (wewnętrzna) – karty produkcji ze sprzężonymi RW+PW.</w:t>
      </w:r>
    </w:p>
    <w:p w14:paraId="7DC046F3" w14:textId="77777777" w:rsidR="003F012A" w:rsidRPr="002901C0" w:rsidRDefault="003F012A" w:rsidP="003F012A">
      <w:pPr>
        <w:pStyle w:val="Akapitzlist"/>
        <w:numPr>
          <w:ilvl w:val="0"/>
          <w:numId w:val="17"/>
        </w:numPr>
        <w:spacing w:after="120" w:line="276" w:lineRule="auto"/>
        <w:ind w:left="426" w:hanging="425"/>
        <w:jc w:val="both"/>
        <w:rPr>
          <w:rFonts w:cs="Times New Roman"/>
          <w:sz w:val="20"/>
          <w:szCs w:val="20"/>
        </w:rPr>
      </w:pPr>
      <w:r w:rsidRPr="002901C0">
        <w:rPr>
          <w:rFonts w:cs="Times New Roman"/>
          <w:sz w:val="20"/>
          <w:szCs w:val="20"/>
        </w:rPr>
        <w:t>Generowanie dokumentów magazynowych PZ (Przyjęcie z Zewnątrz), RW (Rozchód Wewnętrzny), MM (Przesunięcie między Magazynami), PW (Przyjęcie Wewnętrzne).</w:t>
      </w:r>
    </w:p>
    <w:p w14:paraId="546ED2EF" w14:textId="77777777" w:rsidR="003F012A" w:rsidRPr="002901C0" w:rsidRDefault="003F012A" w:rsidP="003F012A">
      <w:pPr>
        <w:pStyle w:val="Akapitzlist"/>
        <w:numPr>
          <w:ilvl w:val="0"/>
          <w:numId w:val="17"/>
        </w:numPr>
        <w:spacing w:after="120" w:line="276" w:lineRule="auto"/>
        <w:ind w:left="426" w:hanging="425"/>
        <w:jc w:val="both"/>
        <w:rPr>
          <w:rFonts w:cs="Times New Roman"/>
          <w:sz w:val="20"/>
          <w:szCs w:val="20"/>
        </w:rPr>
      </w:pPr>
      <w:r w:rsidRPr="002901C0">
        <w:rPr>
          <w:rFonts w:cs="Times New Roman"/>
          <w:sz w:val="20"/>
          <w:szCs w:val="20"/>
        </w:rPr>
        <w:t>Raport stanu magazynowego dla danego magazynu wraz z flagowaniem stanów ostrzegawczych i krytycznych. Możliwość zdefiniowania globalnych stanów ostrzegawczych i krytycznych (dla sumarycznej ilości towaru we wszystkich magazynach).</w:t>
      </w:r>
    </w:p>
    <w:p w14:paraId="3A9F0200" w14:textId="77777777" w:rsidR="003F012A" w:rsidRPr="002901C0" w:rsidRDefault="003F012A" w:rsidP="003F012A">
      <w:pPr>
        <w:pStyle w:val="Akapitzlist"/>
        <w:numPr>
          <w:ilvl w:val="0"/>
          <w:numId w:val="17"/>
        </w:numPr>
        <w:spacing w:after="120" w:line="276" w:lineRule="auto"/>
        <w:ind w:left="426" w:hanging="425"/>
        <w:jc w:val="both"/>
        <w:rPr>
          <w:rFonts w:cs="Times New Roman"/>
          <w:sz w:val="20"/>
          <w:szCs w:val="20"/>
        </w:rPr>
      </w:pPr>
      <w:r w:rsidRPr="002901C0">
        <w:rPr>
          <w:rFonts w:cs="Times New Roman"/>
          <w:sz w:val="20"/>
          <w:szCs w:val="20"/>
        </w:rPr>
        <w:t>Raport pozycji przeterminowanych i pozycji, których termin ważności skończy się w przeciągu X dni (kryterium wejściowe raportu).</w:t>
      </w:r>
    </w:p>
    <w:p w14:paraId="011C986A" w14:textId="77777777" w:rsidR="003F012A" w:rsidRPr="002901C0" w:rsidRDefault="003F012A" w:rsidP="003F012A">
      <w:pPr>
        <w:pStyle w:val="Akapitzlist"/>
        <w:numPr>
          <w:ilvl w:val="0"/>
          <w:numId w:val="17"/>
        </w:numPr>
        <w:spacing w:after="120" w:line="276" w:lineRule="auto"/>
        <w:ind w:left="426" w:hanging="425"/>
        <w:jc w:val="both"/>
        <w:rPr>
          <w:rFonts w:cs="Times New Roman"/>
          <w:sz w:val="20"/>
          <w:szCs w:val="20"/>
        </w:rPr>
      </w:pPr>
      <w:r w:rsidRPr="002901C0">
        <w:rPr>
          <w:rFonts w:cs="Times New Roman"/>
          <w:sz w:val="20"/>
          <w:szCs w:val="20"/>
        </w:rPr>
        <w:t>Raport zużycia ilości pozycji magazynowych za zdefiniowany okres</w:t>
      </w:r>
    </w:p>
    <w:p w14:paraId="410FC8E4" w14:textId="77777777" w:rsidR="003F012A" w:rsidRPr="002901C0" w:rsidRDefault="003F012A" w:rsidP="003F012A">
      <w:pPr>
        <w:pStyle w:val="Akapitzlist"/>
        <w:numPr>
          <w:ilvl w:val="0"/>
          <w:numId w:val="17"/>
        </w:numPr>
        <w:spacing w:after="120" w:line="276" w:lineRule="auto"/>
        <w:ind w:left="426" w:hanging="425"/>
        <w:jc w:val="both"/>
        <w:rPr>
          <w:rFonts w:cs="Times New Roman"/>
          <w:sz w:val="20"/>
          <w:szCs w:val="20"/>
        </w:rPr>
      </w:pPr>
      <w:r w:rsidRPr="002901C0">
        <w:rPr>
          <w:rFonts w:cs="Times New Roman"/>
          <w:sz w:val="20"/>
          <w:szCs w:val="20"/>
        </w:rPr>
        <w:t>Raport ruchu towaru na magazynie.</w:t>
      </w:r>
    </w:p>
    <w:p w14:paraId="159A9704" w14:textId="77777777" w:rsidR="003F012A" w:rsidRPr="002901C0" w:rsidRDefault="003F012A" w:rsidP="003F012A">
      <w:pPr>
        <w:pStyle w:val="Akapitzlist"/>
        <w:numPr>
          <w:ilvl w:val="0"/>
          <w:numId w:val="17"/>
        </w:numPr>
        <w:spacing w:after="120" w:line="276" w:lineRule="auto"/>
        <w:ind w:left="426" w:hanging="425"/>
        <w:jc w:val="both"/>
        <w:rPr>
          <w:rFonts w:cs="Times New Roman"/>
          <w:sz w:val="20"/>
          <w:szCs w:val="20"/>
        </w:rPr>
      </w:pPr>
      <w:r w:rsidRPr="002901C0">
        <w:rPr>
          <w:rFonts w:cs="Times New Roman"/>
          <w:sz w:val="20"/>
          <w:szCs w:val="20"/>
        </w:rPr>
        <w:t>Automatyczny rozchód odczynników na magazynie po zabarwieniu preparatu na zintegrowanym automacie, o ile raportuje on zużycie odczynników.</w:t>
      </w:r>
    </w:p>
    <w:p w14:paraId="2C8F9FF3" w14:textId="71CC3AC1" w:rsidR="003F012A" w:rsidRPr="007942C7" w:rsidRDefault="003F012A" w:rsidP="007942C7">
      <w:pPr>
        <w:pStyle w:val="Akapitzlist"/>
        <w:numPr>
          <w:ilvl w:val="0"/>
          <w:numId w:val="17"/>
        </w:numPr>
        <w:spacing w:after="120" w:line="276" w:lineRule="auto"/>
        <w:ind w:left="426" w:hanging="425"/>
        <w:jc w:val="both"/>
        <w:rPr>
          <w:rFonts w:cs="Times New Roman"/>
          <w:sz w:val="20"/>
          <w:szCs w:val="20"/>
        </w:rPr>
      </w:pPr>
      <w:r w:rsidRPr="002901C0">
        <w:rPr>
          <w:rFonts w:cs="Times New Roman"/>
          <w:sz w:val="20"/>
          <w:szCs w:val="20"/>
        </w:rPr>
        <w:t>Automatyczny rozchód odczynników na magazynie na podstawie realizacji etapów procesu, o ile dany typ etapu procesu posiada odpowiednią konfigurację.</w:t>
      </w:r>
    </w:p>
    <w:p w14:paraId="61768767" w14:textId="42101656" w:rsidR="003F012A" w:rsidRPr="002901C0" w:rsidRDefault="003F012A" w:rsidP="007942C7">
      <w:pPr>
        <w:jc w:val="center"/>
        <w:rPr>
          <w:rFonts w:cs="Times New Roman"/>
          <w:sz w:val="20"/>
          <w:szCs w:val="20"/>
        </w:rPr>
      </w:pPr>
      <w:r w:rsidRPr="002901C0">
        <w:rPr>
          <w:rFonts w:cs="Times New Roman"/>
          <w:b/>
          <w:bCs/>
          <w:sz w:val="20"/>
          <w:szCs w:val="20"/>
        </w:rPr>
        <w:t>MODUŁ PROSEKTORIUM:</w:t>
      </w:r>
    </w:p>
    <w:p w14:paraId="69E822E3" w14:textId="524EEB95" w:rsidR="003F012A" w:rsidRPr="007942C7" w:rsidRDefault="003F012A" w:rsidP="003F012A">
      <w:pPr>
        <w:pStyle w:val="Nagwek1"/>
        <w:numPr>
          <w:ilvl w:val="0"/>
          <w:numId w:val="19"/>
        </w:numPr>
        <w:jc w:val="both"/>
        <w:rPr>
          <w:rFonts w:asciiTheme="minorHAnsi" w:hAnsiTheme="minorHAnsi" w:cs="Times New Roman"/>
          <w:sz w:val="20"/>
          <w:szCs w:val="20"/>
        </w:rPr>
      </w:pPr>
      <w:bookmarkStart w:id="30" w:name="_Toc197942690"/>
      <w:r w:rsidRPr="002901C0">
        <w:rPr>
          <w:rFonts w:asciiTheme="minorHAnsi" w:hAnsiTheme="minorHAnsi" w:cs="Times New Roman"/>
          <w:sz w:val="20"/>
          <w:szCs w:val="20"/>
        </w:rPr>
        <w:t>Lista zleceń przechowania zwłok</w:t>
      </w:r>
      <w:bookmarkEnd w:id="30"/>
    </w:p>
    <w:p w14:paraId="098F3B74" w14:textId="3C3B4294" w:rsidR="003F012A" w:rsidRPr="002901C0" w:rsidRDefault="003F012A" w:rsidP="003F012A">
      <w:pPr>
        <w:pStyle w:val="Akapitzlist"/>
        <w:numPr>
          <w:ilvl w:val="1"/>
          <w:numId w:val="19"/>
        </w:numPr>
        <w:spacing w:after="120" w:line="276" w:lineRule="auto"/>
        <w:ind w:left="426"/>
        <w:jc w:val="both"/>
        <w:rPr>
          <w:rFonts w:cs="Times New Roman"/>
          <w:sz w:val="20"/>
          <w:szCs w:val="20"/>
        </w:rPr>
      </w:pPr>
      <w:r w:rsidRPr="002901C0">
        <w:rPr>
          <w:rFonts w:cs="Times New Roman"/>
          <w:sz w:val="20"/>
          <w:szCs w:val="20"/>
        </w:rPr>
        <w:t>Przyjmowanie zleceń</w:t>
      </w:r>
      <w:r w:rsidR="007942C7">
        <w:rPr>
          <w:rFonts w:cs="Times New Roman"/>
          <w:sz w:val="20"/>
          <w:szCs w:val="20"/>
        </w:rPr>
        <w:t xml:space="preserve"> </w:t>
      </w:r>
      <w:r w:rsidRPr="002901C0">
        <w:rPr>
          <w:rFonts w:cs="Times New Roman"/>
          <w:sz w:val="20"/>
          <w:szCs w:val="20"/>
        </w:rPr>
        <w:t xml:space="preserve">przechowania zwłok poprzez integrację HL7 oraz możliwość ręcznego zakładania zleceń. </w:t>
      </w:r>
    </w:p>
    <w:p w14:paraId="56E89493" w14:textId="77777777" w:rsidR="003F012A" w:rsidRPr="002901C0" w:rsidRDefault="003F012A" w:rsidP="003F012A">
      <w:pPr>
        <w:pStyle w:val="Akapitzlist"/>
        <w:numPr>
          <w:ilvl w:val="1"/>
          <w:numId w:val="19"/>
        </w:numPr>
        <w:spacing w:after="120" w:line="276" w:lineRule="auto"/>
        <w:ind w:left="426"/>
        <w:jc w:val="both"/>
        <w:rPr>
          <w:rFonts w:cs="Times New Roman"/>
          <w:sz w:val="20"/>
          <w:szCs w:val="20"/>
        </w:rPr>
      </w:pPr>
      <w:r w:rsidRPr="002901C0">
        <w:rPr>
          <w:rFonts w:cs="Times New Roman"/>
          <w:sz w:val="20"/>
          <w:szCs w:val="20"/>
        </w:rPr>
        <w:t xml:space="preserve">Możliwość filtrowania listy zleceń wg kryteriów zlecającego i oddziału, jednostki kierującej, jednostki wykonującej, danych pacjenta, daty zlecenia od-do, daty zgonu od-do, statusu zlecenia. </w:t>
      </w:r>
    </w:p>
    <w:p w14:paraId="3398B786" w14:textId="77777777" w:rsidR="003F012A" w:rsidRPr="002901C0" w:rsidRDefault="003F012A" w:rsidP="003F012A">
      <w:pPr>
        <w:pStyle w:val="Akapitzlist"/>
        <w:numPr>
          <w:ilvl w:val="1"/>
          <w:numId w:val="19"/>
        </w:numPr>
        <w:spacing w:after="120" w:line="276" w:lineRule="auto"/>
        <w:ind w:left="426"/>
        <w:jc w:val="both"/>
        <w:rPr>
          <w:rFonts w:cs="Times New Roman"/>
          <w:sz w:val="20"/>
          <w:szCs w:val="20"/>
        </w:rPr>
      </w:pPr>
      <w:r w:rsidRPr="002901C0">
        <w:rPr>
          <w:rFonts w:cs="Times New Roman"/>
          <w:sz w:val="20"/>
          <w:szCs w:val="20"/>
        </w:rPr>
        <w:t xml:space="preserve">Sortowanie listy wg daty zlecenia lub daty zgonu. </w:t>
      </w:r>
    </w:p>
    <w:p w14:paraId="04C56DA5" w14:textId="77777777" w:rsidR="003F012A" w:rsidRPr="002901C0" w:rsidRDefault="003F012A" w:rsidP="003F012A">
      <w:pPr>
        <w:pStyle w:val="Akapitzlist"/>
        <w:numPr>
          <w:ilvl w:val="1"/>
          <w:numId w:val="19"/>
        </w:numPr>
        <w:spacing w:after="120" w:line="276" w:lineRule="auto"/>
        <w:ind w:left="426"/>
        <w:jc w:val="both"/>
        <w:rPr>
          <w:rFonts w:cs="Times New Roman"/>
          <w:sz w:val="20"/>
          <w:szCs w:val="20"/>
        </w:rPr>
      </w:pPr>
      <w:r w:rsidRPr="002901C0">
        <w:rPr>
          <w:rFonts w:cs="Times New Roman"/>
          <w:sz w:val="20"/>
          <w:szCs w:val="20"/>
        </w:rPr>
        <w:t>Możliwość podjęcia zlecenia w celu zarejestrowania przyjęcia zmarłego na stan prosektorium z zachowaniem wszystkich przesłanych danych.</w:t>
      </w:r>
    </w:p>
    <w:p w14:paraId="250BFDE1" w14:textId="77777777" w:rsidR="003F012A" w:rsidRPr="002901C0" w:rsidRDefault="003F012A" w:rsidP="003F012A">
      <w:pPr>
        <w:pStyle w:val="Akapitzlist"/>
        <w:numPr>
          <w:ilvl w:val="1"/>
          <w:numId w:val="19"/>
        </w:numPr>
        <w:spacing w:after="120" w:line="276" w:lineRule="auto"/>
        <w:ind w:left="426"/>
        <w:jc w:val="both"/>
        <w:rPr>
          <w:rFonts w:cs="Times New Roman"/>
          <w:sz w:val="20"/>
          <w:szCs w:val="20"/>
        </w:rPr>
      </w:pPr>
      <w:r w:rsidRPr="002901C0">
        <w:rPr>
          <w:rFonts w:cs="Times New Roman"/>
          <w:sz w:val="20"/>
          <w:szCs w:val="20"/>
        </w:rPr>
        <w:t>Możliwość korekty danych pacjenta otrzymanych w ramach zlecenia elektronicznego ze zintegrowanego systemu tylko przez uprawnionego użytkownika.</w:t>
      </w:r>
    </w:p>
    <w:p w14:paraId="58175749" w14:textId="77777777" w:rsidR="003F012A" w:rsidRPr="002901C0" w:rsidRDefault="003F012A" w:rsidP="003F012A">
      <w:pPr>
        <w:pStyle w:val="Akapitzlist"/>
        <w:numPr>
          <w:ilvl w:val="1"/>
          <w:numId w:val="19"/>
        </w:numPr>
        <w:spacing w:after="120" w:line="276" w:lineRule="auto"/>
        <w:ind w:left="426"/>
        <w:jc w:val="both"/>
        <w:rPr>
          <w:rFonts w:cs="Times New Roman"/>
          <w:sz w:val="20"/>
          <w:szCs w:val="20"/>
        </w:rPr>
      </w:pPr>
      <w:r w:rsidRPr="002901C0">
        <w:rPr>
          <w:rFonts w:cs="Times New Roman"/>
          <w:sz w:val="20"/>
          <w:szCs w:val="20"/>
        </w:rPr>
        <w:t>Możliwość odrzucenia zlecenia wraz z podaniem powodu.</w:t>
      </w:r>
    </w:p>
    <w:p w14:paraId="127C6E5A" w14:textId="77777777" w:rsidR="003F012A" w:rsidRPr="002901C0" w:rsidRDefault="003F012A" w:rsidP="003F012A">
      <w:pPr>
        <w:pStyle w:val="Akapitzlist"/>
        <w:numPr>
          <w:ilvl w:val="1"/>
          <w:numId w:val="19"/>
        </w:numPr>
        <w:spacing w:after="120" w:line="276" w:lineRule="auto"/>
        <w:ind w:left="426"/>
        <w:jc w:val="both"/>
        <w:rPr>
          <w:rFonts w:cs="Times New Roman"/>
          <w:sz w:val="20"/>
          <w:szCs w:val="20"/>
        </w:rPr>
      </w:pPr>
      <w:r w:rsidRPr="002901C0">
        <w:rPr>
          <w:rFonts w:cs="Times New Roman"/>
          <w:sz w:val="20"/>
          <w:szCs w:val="20"/>
        </w:rPr>
        <w:lastRenderedPageBreak/>
        <w:t>Możliwość automatycznego anulowania zleceń nie podjętych przez określony czas.</w:t>
      </w:r>
    </w:p>
    <w:p w14:paraId="4CFAB0FD" w14:textId="32C84559" w:rsidR="003F012A" w:rsidRPr="007942C7" w:rsidRDefault="003F012A" w:rsidP="003F012A">
      <w:pPr>
        <w:pStyle w:val="Nagwek1"/>
        <w:numPr>
          <w:ilvl w:val="0"/>
          <w:numId w:val="19"/>
        </w:numPr>
        <w:jc w:val="both"/>
        <w:rPr>
          <w:rFonts w:asciiTheme="minorHAnsi" w:hAnsiTheme="minorHAnsi" w:cs="Times New Roman"/>
          <w:sz w:val="20"/>
          <w:szCs w:val="20"/>
        </w:rPr>
      </w:pPr>
      <w:bookmarkStart w:id="31" w:name="_Toc197942691"/>
      <w:r w:rsidRPr="002901C0">
        <w:rPr>
          <w:rFonts w:asciiTheme="minorHAnsi" w:hAnsiTheme="minorHAnsi" w:cs="Times New Roman"/>
          <w:sz w:val="20"/>
          <w:szCs w:val="20"/>
        </w:rPr>
        <w:t>Rejestr przyjęć zmarłych</w:t>
      </w:r>
      <w:bookmarkEnd w:id="31"/>
    </w:p>
    <w:p w14:paraId="4864AEBB" w14:textId="77777777" w:rsidR="003F012A" w:rsidRPr="002901C0" w:rsidRDefault="003F012A" w:rsidP="003F012A">
      <w:pPr>
        <w:pStyle w:val="Akapitzlist"/>
        <w:numPr>
          <w:ilvl w:val="1"/>
          <w:numId w:val="19"/>
        </w:numPr>
        <w:spacing w:after="120" w:line="276" w:lineRule="auto"/>
        <w:ind w:left="426"/>
        <w:jc w:val="both"/>
        <w:rPr>
          <w:sz w:val="20"/>
          <w:szCs w:val="20"/>
        </w:rPr>
      </w:pPr>
      <w:r w:rsidRPr="002901C0">
        <w:rPr>
          <w:sz w:val="20"/>
          <w:szCs w:val="20"/>
        </w:rPr>
        <w:t>Funkcja umożliwiająca wprowadzenie do systemu danych zmarłego przyjmowanego na stan prosektorium.</w:t>
      </w:r>
    </w:p>
    <w:p w14:paraId="59900716" w14:textId="77777777" w:rsidR="003F012A" w:rsidRPr="002901C0" w:rsidRDefault="003F012A" w:rsidP="003F012A">
      <w:pPr>
        <w:pStyle w:val="Akapitzlist"/>
        <w:numPr>
          <w:ilvl w:val="2"/>
          <w:numId w:val="19"/>
        </w:numPr>
        <w:spacing w:after="120" w:line="276" w:lineRule="auto"/>
        <w:ind w:left="851"/>
        <w:jc w:val="both"/>
        <w:rPr>
          <w:sz w:val="20"/>
          <w:szCs w:val="20"/>
        </w:rPr>
      </w:pPr>
      <w:r w:rsidRPr="002901C0">
        <w:rPr>
          <w:rFonts w:cs="Times New Roman"/>
          <w:sz w:val="20"/>
          <w:szCs w:val="20"/>
        </w:rPr>
        <w:t xml:space="preserve"> Zakres przechowywanych danych:</w:t>
      </w:r>
    </w:p>
    <w:p w14:paraId="056CB7F4" w14:textId="77777777" w:rsidR="003F012A" w:rsidRPr="002901C0" w:rsidRDefault="003F012A" w:rsidP="003F012A">
      <w:pPr>
        <w:pStyle w:val="Akapitzlist"/>
        <w:numPr>
          <w:ilvl w:val="3"/>
          <w:numId w:val="19"/>
        </w:numPr>
        <w:spacing w:after="120" w:line="276" w:lineRule="auto"/>
        <w:ind w:left="1701" w:hanging="790"/>
        <w:jc w:val="both"/>
        <w:rPr>
          <w:sz w:val="20"/>
          <w:szCs w:val="20"/>
        </w:rPr>
      </w:pPr>
      <w:r w:rsidRPr="002901C0">
        <w:rPr>
          <w:rFonts w:cs="Times New Roman"/>
          <w:sz w:val="20"/>
          <w:szCs w:val="20"/>
        </w:rPr>
        <w:t>zlecający przechowanie zwłok</w:t>
      </w:r>
    </w:p>
    <w:p w14:paraId="36D9C0C4" w14:textId="4875EA74" w:rsidR="003F012A" w:rsidRPr="002901C0" w:rsidRDefault="003F012A" w:rsidP="003F012A">
      <w:pPr>
        <w:pStyle w:val="Akapitzlist"/>
        <w:numPr>
          <w:ilvl w:val="3"/>
          <w:numId w:val="19"/>
        </w:numPr>
        <w:spacing w:after="120" w:line="276" w:lineRule="auto"/>
        <w:ind w:left="1701" w:hanging="790"/>
        <w:jc w:val="both"/>
        <w:rPr>
          <w:sz w:val="20"/>
          <w:szCs w:val="20"/>
        </w:rPr>
      </w:pPr>
      <w:r w:rsidRPr="002901C0">
        <w:rPr>
          <w:rFonts w:cs="Times New Roman"/>
          <w:sz w:val="20"/>
          <w:szCs w:val="20"/>
        </w:rPr>
        <w:t>dane osobowe pacjenta: imię,</w:t>
      </w:r>
      <w:r w:rsidR="007D31C2">
        <w:rPr>
          <w:rFonts w:cs="Times New Roman"/>
          <w:sz w:val="20"/>
          <w:szCs w:val="20"/>
        </w:rPr>
        <w:t xml:space="preserve"> </w:t>
      </w:r>
      <w:r w:rsidRPr="002901C0">
        <w:rPr>
          <w:rFonts w:cs="Times New Roman"/>
          <w:sz w:val="20"/>
          <w:szCs w:val="20"/>
        </w:rPr>
        <w:t>nazwisko, czy pacjent nieznany (wraz z przyczyną), PESEL, płeć, wiek, data urodzenia, ID zewnętrzny pacjenta, numer historii choroby, dokument tożsamości</w:t>
      </w:r>
    </w:p>
    <w:p w14:paraId="5AC4F0B9" w14:textId="77777777" w:rsidR="003F012A" w:rsidRPr="002901C0" w:rsidRDefault="003F012A" w:rsidP="003F012A">
      <w:pPr>
        <w:pStyle w:val="Akapitzlist"/>
        <w:numPr>
          <w:ilvl w:val="3"/>
          <w:numId w:val="19"/>
        </w:numPr>
        <w:spacing w:after="120" w:line="276" w:lineRule="auto"/>
        <w:ind w:left="1701" w:hanging="790"/>
        <w:jc w:val="both"/>
        <w:rPr>
          <w:sz w:val="20"/>
          <w:szCs w:val="20"/>
        </w:rPr>
      </w:pPr>
      <w:r w:rsidRPr="002901C0">
        <w:rPr>
          <w:rFonts w:cs="Times New Roman"/>
          <w:sz w:val="20"/>
          <w:szCs w:val="20"/>
        </w:rPr>
        <w:t>data i godzina zgonu</w:t>
      </w:r>
    </w:p>
    <w:p w14:paraId="5053DB06" w14:textId="77777777" w:rsidR="003F012A" w:rsidRPr="002901C0" w:rsidRDefault="003F012A" w:rsidP="003F012A">
      <w:pPr>
        <w:pStyle w:val="Akapitzlist"/>
        <w:numPr>
          <w:ilvl w:val="3"/>
          <w:numId w:val="19"/>
        </w:numPr>
        <w:spacing w:after="120" w:line="276" w:lineRule="auto"/>
        <w:ind w:left="1701" w:hanging="790"/>
        <w:jc w:val="both"/>
        <w:rPr>
          <w:sz w:val="20"/>
          <w:szCs w:val="20"/>
        </w:rPr>
      </w:pPr>
      <w:r w:rsidRPr="002901C0">
        <w:rPr>
          <w:rFonts w:cs="Times New Roman"/>
          <w:sz w:val="20"/>
          <w:szCs w:val="20"/>
        </w:rPr>
        <w:t>czy skierowano na sekcję sądową</w:t>
      </w:r>
    </w:p>
    <w:p w14:paraId="3C064BA6" w14:textId="77777777" w:rsidR="003F012A" w:rsidRPr="002901C0" w:rsidRDefault="003F012A" w:rsidP="003F012A">
      <w:pPr>
        <w:pStyle w:val="Akapitzlist"/>
        <w:numPr>
          <w:ilvl w:val="3"/>
          <w:numId w:val="19"/>
        </w:numPr>
        <w:spacing w:after="120" w:line="276" w:lineRule="auto"/>
        <w:ind w:left="1701" w:hanging="790"/>
        <w:jc w:val="both"/>
        <w:rPr>
          <w:sz w:val="20"/>
          <w:szCs w:val="20"/>
        </w:rPr>
      </w:pPr>
      <w:r w:rsidRPr="002901C0">
        <w:rPr>
          <w:rFonts w:cs="Times New Roman"/>
          <w:sz w:val="20"/>
          <w:szCs w:val="20"/>
        </w:rPr>
        <w:t>czy skierowano na sekcję naukowo-lekarską</w:t>
      </w:r>
    </w:p>
    <w:p w14:paraId="5890EA4F" w14:textId="77777777" w:rsidR="003F012A" w:rsidRPr="002901C0" w:rsidRDefault="003F012A" w:rsidP="003F012A">
      <w:pPr>
        <w:pStyle w:val="Akapitzlist"/>
        <w:numPr>
          <w:ilvl w:val="3"/>
          <w:numId w:val="19"/>
        </w:numPr>
        <w:spacing w:after="120" w:line="276" w:lineRule="auto"/>
        <w:ind w:left="1701" w:hanging="790"/>
        <w:jc w:val="both"/>
        <w:rPr>
          <w:sz w:val="20"/>
          <w:szCs w:val="20"/>
        </w:rPr>
      </w:pPr>
      <w:r w:rsidRPr="002901C0">
        <w:rPr>
          <w:rFonts w:cs="Times New Roman"/>
          <w:sz w:val="20"/>
          <w:szCs w:val="20"/>
        </w:rPr>
        <w:t>data przyjęcia zwłok do chłodni</w:t>
      </w:r>
    </w:p>
    <w:p w14:paraId="4A79ABB8" w14:textId="77777777" w:rsidR="003F012A" w:rsidRPr="002901C0" w:rsidRDefault="003F012A" w:rsidP="003F012A">
      <w:pPr>
        <w:pStyle w:val="Akapitzlist"/>
        <w:numPr>
          <w:ilvl w:val="3"/>
          <w:numId w:val="19"/>
        </w:numPr>
        <w:spacing w:after="120" w:line="276" w:lineRule="auto"/>
        <w:ind w:left="1701" w:hanging="790"/>
        <w:jc w:val="both"/>
        <w:rPr>
          <w:sz w:val="20"/>
          <w:szCs w:val="20"/>
        </w:rPr>
      </w:pPr>
      <w:r w:rsidRPr="002901C0">
        <w:rPr>
          <w:rFonts w:cs="Times New Roman"/>
          <w:sz w:val="20"/>
          <w:szCs w:val="20"/>
        </w:rPr>
        <w:t>data wykonania sekcji</w:t>
      </w:r>
    </w:p>
    <w:p w14:paraId="38BD9593" w14:textId="77777777" w:rsidR="003F012A" w:rsidRPr="002901C0" w:rsidRDefault="003F012A" w:rsidP="003F012A">
      <w:pPr>
        <w:pStyle w:val="Akapitzlist"/>
        <w:numPr>
          <w:ilvl w:val="3"/>
          <w:numId w:val="19"/>
        </w:numPr>
        <w:spacing w:after="120" w:line="276" w:lineRule="auto"/>
        <w:ind w:left="1701" w:hanging="790"/>
        <w:jc w:val="both"/>
        <w:rPr>
          <w:sz w:val="20"/>
          <w:szCs w:val="20"/>
        </w:rPr>
      </w:pPr>
      <w:r w:rsidRPr="002901C0">
        <w:rPr>
          <w:rFonts w:cs="Times New Roman"/>
          <w:sz w:val="20"/>
          <w:szCs w:val="20"/>
        </w:rPr>
        <w:t>czy zwłoki przyjęto poza godzinami pracy prosektorium</w:t>
      </w:r>
    </w:p>
    <w:p w14:paraId="5C1FF92C" w14:textId="77777777" w:rsidR="003F012A" w:rsidRPr="002901C0" w:rsidRDefault="003F012A" w:rsidP="003F012A">
      <w:pPr>
        <w:pStyle w:val="Akapitzlist"/>
        <w:numPr>
          <w:ilvl w:val="3"/>
          <w:numId w:val="19"/>
        </w:numPr>
        <w:spacing w:after="120" w:line="276" w:lineRule="auto"/>
        <w:ind w:left="1701" w:hanging="790"/>
        <w:jc w:val="both"/>
        <w:rPr>
          <w:sz w:val="20"/>
          <w:szCs w:val="20"/>
        </w:rPr>
      </w:pPr>
      <w:r w:rsidRPr="002901C0">
        <w:rPr>
          <w:rFonts w:cs="Times New Roman"/>
          <w:sz w:val="20"/>
          <w:szCs w:val="20"/>
        </w:rPr>
        <w:t>dane osoby przyjmującej zwłoki</w:t>
      </w:r>
    </w:p>
    <w:p w14:paraId="51A705D8" w14:textId="77777777" w:rsidR="003F012A" w:rsidRPr="002901C0" w:rsidRDefault="003F012A" w:rsidP="003F012A">
      <w:pPr>
        <w:pStyle w:val="Akapitzlist"/>
        <w:numPr>
          <w:ilvl w:val="3"/>
          <w:numId w:val="19"/>
        </w:numPr>
        <w:spacing w:after="120" w:line="276" w:lineRule="auto"/>
        <w:ind w:left="1701" w:hanging="790"/>
        <w:jc w:val="both"/>
        <w:rPr>
          <w:sz w:val="20"/>
          <w:szCs w:val="20"/>
        </w:rPr>
      </w:pPr>
      <w:r w:rsidRPr="002901C0">
        <w:rPr>
          <w:rFonts w:cs="Times New Roman"/>
          <w:sz w:val="20"/>
          <w:szCs w:val="20"/>
        </w:rPr>
        <w:t>przyczyna zgonu</w:t>
      </w:r>
    </w:p>
    <w:p w14:paraId="0F9808C9" w14:textId="77777777" w:rsidR="003F012A" w:rsidRPr="002901C0" w:rsidRDefault="003F012A" w:rsidP="003F012A">
      <w:pPr>
        <w:pStyle w:val="Akapitzlist"/>
        <w:numPr>
          <w:ilvl w:val="3"/>
          <w:numId w:val="19"/>
        </w:numPr>
        <w:spacing w:after="120" w:line="276" w:lineRule="auto"/>
        <w:ind w:left="1701" w:hanging="790"/>
        <w:jc w:val="both"/>
        <w:rPr>
          <w:sz w:val="20"/>
          <w:szCs w:val="20"/>
        </w:rPr>
      </w:pPr>
      <w:r w:rsidRPr="002901C0">
        <w:rPr>
          <w:rFonts w:cs="Times New Roman"/>
          <w:sz w:val="20"/>
          <w:szCs w:val="20"/>
        </w:rPr>
        <w:t>opis rzeczy osobistych zmarłego</w:t>
      </w:r>
    </w:p>
    <w:p w14:paraId="5695CE46" w14:textId="77777777" w:rsidR="003F012A" w:rsidRPr="002901C0" w:rsidRDefault="003F012A" w:rsidP="003F012A">
      <w:pPr>
        <w:pStyle w:val="Akapitzlist"/>
        <w:numPr>
          <w:ilvl w:val="3"/>
          <w:numId w:val="19"/>
        </w:numPr>
        <w:spacing w:after="120" w:line="276" w:lineRule="auto"/>
        <w:ind w:left="1701" w:hanging="790"/>
        <w:jc w:val="both"/>
        <w:rPr>
          <w:sz w:val="20"/>
          <w:szCs w:val="20"/>
        </w:rPr>
      </w:pPr>
      <w:r w:rsidRPr="002901C0">
        <w:rPr>
          <w:rFonts w:cs="Times New Roman"/>
          <w:sz w:val="20"/>
          <w:szCs w:val="20"/>
        </w:rPr>
        <w:t xml:space="preserve"> dodatkowe uwagi.</w:t>
      </w:r>
    </w:p>
    <w:p w14:paraId="4C1749AB" w14:textId="77777777" w:rsidR="003F012A" w:rsidRPr="002901C0" w:rsidRDefault="003F012A" w:rsidP="003F012A">
      <w:pPr>
        <w:pStyle w:val="Akapitzlist"/>
        <w:numPr>
          <w:ilvl w:val="1"/>
          <w:numId w:val="19"/>
        </w:numPr>
        <w:spacing w:after="120" w:line="276" w:lineRule="auto"/>
        <w:ind w:left="426"/>
        <w:jc w:val="both"/>
        <w:rPr>
          <w:sz w:val="20"/>
          <w:szCs w:val="20"/>
        </w:rPr>
      </w:pPr>
      <w:r w:rsidRPr="002901C0">
        <w:rPr>
          <w:sz w:val="20"/>
          <w:szCs w:val="20"/>
        </w:rPr>
        <w:t>Lista robocza przyjęć zmarłych:</w:t>
      </w:r>
    </w:p>
    <w:p w14:paraId="3471F0BA" w14:textId="77777777" w:rsidR="003F012A" w:rsidRPr="002901C0" w:rsidRDefault="003F012A" w:rsidP="003F012A">
      <w:pPr>
        <w:pStyle w:val="Akapitzlist"/>
        <w:numPr>
          <w:ilvl w:val="2"/>
          <w:numId w:val="19"/>
        </w:numPr>
        <w:spacing w:after="120" w:line="276" w:lineRule="auto"/>
        <w:ind w:left="851"/>
        <w:jc w:val="both"/>
        <w:rPr>
          <w:sz w:val="20"/>
          <w:szCs w:val="20"/>
        </w:rPr>
      </w:pPr>
      <w:r w:rsidRPr="002901C0">
        <w:rPr>
          <w:rFonts w:cs="Times New Roman"/>
          <w:sz w:val="20"/>
          <w:szCs w:val="20"/>
        </w:rPr>
        <w:t xml:space="preserve"> Prezentacja listy przyjętych zmarłych wraz z podstawowymi informacjami dotyczącymi przyjęcia.</w:t>
      </w:r>
    </w:p>
    <w:p w14:paraId="122CCD9D" w14:textId="77777777" w:rsidR="003F012A" w:rsidRPr="002901C0" w:rsidRDefault="003F012A" w:rsidP="003F012A">
      <w:pPr>
        <w:pStyle w:val="Akapitzlist"/>
        <w:numPr>
          <w:ilvl w:val="2"/>
          <w:numId w:val="19"/>
        </w:numPr>
        <w:spacing w:after="120" w:line="276" w:lineRule="auto"/>
        <w:ind w:left="851"/>
        <w:jc w:val="both"/>
        <w:rPr>
          <w:sz w:val="20"/>
          <w:szCs w:val="20"/>
        </w:rPr>
      </w:pPr>
      <w:r w:rsidRPr="002901C0">
        <w:rPr>
          <w:rFonts w:cs="Times New Roman"/>
          <w:sz w:val="20"/>
          <w:szCs w:val="20"/>
        </w:rPr>
        <w:t xml:space="preserve"> Wyszukiwarka zmarłych o kryteriach:</w:t>
      </w:r>
    </w:p>
    <w:p w14:paraId="5BD8C2CB" w14:textId="77777777" w:rsidR="003F012A" w:rsidRPr="002901C0" w:rsidRDefault="003F012A" w:rsidP="003F012A">
      <w:pPr>
        <w:pStyle w:val="Akapitzlist"/>
        <w:numPr>
          <w:ilvl w:val="3"/>
          <w:numId w:val="19"/>
        </w:numPr>
        <w:spacing w:after="120" w:line="276" w:lineRule="auto"/>
        <w:ind w:left="1560"/>
        <w:jc w:val="both"/>
        <w:rPr>
          <w:sz w:val="20"/>
          <w:szCs w:val="20"/>
        </w:rPr>
      </w:pPr>
      <w:r w:rsidRPr="002901C0">
        <w:rPr>
          <w:rFonts w:cs="Times New Roman"/>
          <w:sz w:val="20"/>
          <w:szCs w:val="20"/>
        </w:rPr>
        <w:t xml:space="preserve"> zlecający</w:t>
      </w:r>
    </w:p>
    <w:p w14:paraId="25B5DFE2" w14:textId="77777777" w:rsidR="003F012A" w:rsidRPr="002901C0" w:rsidRDefault="003F012A" w:rsidP="003F012A">
      <w:pPr>
        <w:pStyle w:val="Akapitzlist"/>
        <w:numPr>
          <w:ilvl w:val="3"/>
          <w:numId w:val="19"/>
        </w:numPr>
        <w:spacing w:after="120" w:line="276" w:lineRule="auto"/>
        <w:ind w:left="1560"/>
        <w:jc w:val="both"/>
        <w:rPr>
          <w:sz w:val="20"/>
          <w:szCs w:val="20"/>
        </w:rPr>
      </w:pPr>
      <w:r w:rsidRPr="002901C0">
        <w:rPr>
          <w:rFonts w:cs="Times New Roman"/>
          <w:sz w:val="20"/>
          <w:szCs w:val="20"/>
        </w:rPr>
        <w:t xml:space="preserve"> data i godzina zgonu</w:t>
      </w:r>
    </w:p>
    <w:p w14:paraId="4D5A976D" w14:textId="77777777" w:rsidR="003F012A" w:rsidRPr="002901C0" w:rsidRDefault="003F012A" w:rsidP="003F012A">
      <w:pPr>
        <w:pStyle w:val="Akapitzlist"/>
        <w:numPr>
          <w:ilvl w:val="3"/>
          <w:numId w:val="19"/>
        </w:numPr>
        <w:spacing w:after="120" w:line="276" w:lineRule="auto"/>
        <w:ind w:left="1560"/>
        <w:jc w:val="both"/>
        <w:rPr>
          <w:sz w:val="20"/>
          <w:szCs w:val="20"/>
        </w:rPr>
      </w:pPr>
      <w:r w:rsidRPr="002901C0">
        <w:rPr>
          <w:rFonts w:cs="Times New Roman"/>
          <w:sz w:val="20"/>
          <w:szCs w:val="20"/>
        </w:rPr>
        <w:t xml:space="preserve"> data i godzina przyjęcia</w:t>
      </w:r>
    </w:p>
    <w:p w14:paraId="276FFE86" w14:textId="77777777" w:rsidR="003F012A" w:rsidRPr="002901C0" w:rsidRDefault="003F012A" w:rsidP="003F012A">
      <w:pPr>
        <w:pStyle w:val="Akapitzlist"/>
        <w:numPr>
          <w:ilvl w:val="3"/>
          <w:numId w:val="19"/>
        </w:numPr>
        <w:spacing w:after="120" w:line="276" w:lineRule="auto"/>
        <w:ind w:left="1560"/>
        <w:jc w:val="both"/>
        <w:rPr>
          <w:sz w:val="20"/>
          <w:szCs w:val="20"/>
        </w:rPr>
      </w:pPr>
      <w:r w:rsidRPr="002901C0">
        <w:rPr>
          <w:rFonts w:cs="Times New Roman"/>
          <w:sz w:val="20"/>
          <w:szCs w:val="20"/>
        </w:rPr>
        <w:t xml:space="preserve"> imię, nazwisko, PESEL, numer historii choroby</w:t>
      </w:r>
    </w:p>
    <w:p w14:paraId="0E8430ED" w14:textId="77777777" w:rsidR="003F012A" w:rsidRPr="002901C0" w:rsidRDefault="003F012A" w:rsidP="003F012A">
      <w:pPr>
        <w:pStyle w:val="Akapitzlist"/>
        <w:numPr>
          <w:ilvl w:val="3"/>
          <w:numId w:val="19"/>
        </w:numPr>
        <w:spacing w:after="120" w:line="276" w:lineRule="auto"/>
        <w:ind w:left="1560"/>
        <w:jc w:val="both"/>
        <w:rPr>
          <w:sz w:val="20"/>
          <w:szCs w:val="20"/>
        </w:rPr>
      </w:pPr>
      <w:r w:rsidRPr="002901C0">
        <w:rPr>
          <w:rFonts w:cs="Times New Roman"/>
          <w:sz w:val="20"/>
          <w:szCs w:val="20"/>
        </w:rPr>
        <w:t xml:space="preserve"> czy skierowano na sekcję sądową</w:t>
      </w:r>
    </w:p>
    <w:p w14:paraId="0055AA33" w14:textId="77777777" w:rsidR="003F012A" w:rsidRPr="002901C0" w:rsidRDefault="003F012A" w:rsidP="003F012A">
      <w:pPr>
        <w:pStyle w:val="Akapitzlist"/>
        <w:numPr>
          <w:ilvl w:val="3"/>
          <w:numId w:val="19"/>
        </w:numPr>
        <w:spacing w:after="120" w:line="276" w:lineRule="auto"/>
        <w:ind w:left="1560"/>
        <w:jc w:val="both"/>
        <w:rPr>
          <w:sz w:val="20"/>
          <w:szCs w:val="20"/>
        </w:rPr>
      </w:pPr>
      <w:r w:rsidRPr="002901C0">
        <w:rPr>
          <w:rFonts w:cs="Times New Roman"/>
          <w:sz w:val="20"/>
          <w:szCs w:val="20"/>
        </w:rPr>
        <w:t xml:space="preserve"> dostęp do szczegółowych danych zmarłego i jego edycji.</w:t>
      </w:r>
    </w:p>
    <w:p w14:paraId="716F1F8C" w14:textId="77777777" w:rsidR="003F012A" w:rsidRPr="002901C0" w:rsidRDefault="003F012A" w:rsidP="003F012A">
      <w:pPr>
        <w:pStyle w:val="Akapitzlist"/>
        <w:numPr>
          <w:ilvl w:val="1"/>
          <w:numId w:val="19"/>
        </w:numPr>
        <w:spacing w:after="120" w:line="276" w:lineRule="auto"/>
        <w:ind w:left="426"/>
        <w:jc w:val="both"/>
        <w:rPr>
          <w:sz w:val="20"/>
          <w:szCs w:val="20"/>
        </w:rPr>
      </w:pPr>
      <w:r w:rsidRPr="002901C0">
        <w:rPr>
          <w:sz w:val="20"/>
          <w:szCs w:val="20"/>
        </w:rPr>
        <w:t>Obsługa przyjętego zmarłego:</w:t>
      </w:r>
    </w:p>
    <w:p w14:paraId="4F1A2077" w14:textId="77777777" w:rsidR="003F012A" w:rsidRPr="002901C0" w:rsidRDefault="003F012A" w:rsidP="003F012A">
      <w:pPr>
        <w:pStyle w:val="Akapitzlist"/>
        <w:numPr>
          <w:ilvl w:val="2"/>
          <w:numId w:val="19"/>
        </w:numPr>
        <w:spacing w:after="120" w:line="276" w:lineRule="auto"/>
        <w:ind w:left="851"/>
        <w:jc w:val="both"/>
        <w:rPr>
          <w:sz w:val="20"/>
          <w:szCs w:val="20"/>
        </w:rPr>
      </w:pPr>
      <w:r w:rsidRPr="002901C0">
        <w:rPr>
          <w:rFonts w:cs="Times New Roman"/>
          <w:sz w:val="20"/>
          <w:szCs w:val="20"/>
        </w:rPr>
        <w:t xml:space="preserve"> Dostęp do szczegółowych danych zmarłego wraz z pełną historią zmian.</w:t>
      </w:r>
    </w:p>
    <w:p w14:paraId="385C5EF5" w14:textId="77777777" w:rsidR="003F012A" w:rsidRPr="002901C0" w:rsidRDefault="003F012A" w:rsidP="003F012A">
      <w:pPr>
        <w:pStyle w:val="Akapitzlist"/>
        <w:numPr>
          <w:ilvl w:val="2"/>
          <w:numId w:val="19"/>
        </w:numPr>
        <w:spacing w:after="120" w:line="276" w:lineRule="auto"/>
        <w:ind w:left="851"/>
        <w:jc w:val="both"/>
        <w:rPr>
          <w:sz w:val="20"/>
          <w:szCs w:val="20"/>
        </w:rPr>
      </w:pPr>
      <w:r w:rsidRPr="002901C0">
        <w:rPr>
          <w:rFonts w:cs="Times New Roman"/>
          <w:sz w:val="20"/>
          <w:szCs w:val="20"/>
        </w:rPr>
        <w:t xml:space="preserve"> Możliwość dodawania załączników - plików o dowolnym formacie.</w:t>
      </w:r>
    </w:p>
    <w:p w14:paraId="4AB39BCB" w14:textId="77777777" w:rsidR="003F012A" w:rsidRPr="002901C0" w:rsidRDefault="003F012A" w:rsidP="003F012A">
      <w:pPr>
        <w:pStyle w:val="Akapitzlist"/>
        <w:numPr>
          <w:ilvl w:val="2"/>
          <w:numId w:val="19"/>
        </w:numPr>
        <w:spacing w:after="120" w:line="276" w:lineRule="auto"/>
        <w:ind w:left="851"/>
        <w:jc w:val="both"/>
        <w:rPr>
          <w:sz w:val="20"/>
          <w:szCs w:val="20"/>
        </w:rPr>
      </w:pPr>
      <w:r w:rsidRPr="002901C0">
        <w:rPr>
          <w:rFonts w:cs="Times New Roman"/>
          <w:sz w:val="20"/>
          <w:szCs w:val="20"/>
        </w:rPr>
        <w:t xml:space="preserve"> Możliwość wydania zmarłego z informacjami takimi jak:</w:t>
      </w:r>
    </w:p>
    <w:p w14:paraId="676C9CD3" w14:textId="77777777" w:rsidR="003F012A" w:rsidRPr="002901C0" w:rsidRDefault="003F012A" w:rsidP="003F012A">
      <w:pPr>
        <w:pStyle w:val="Akapitzlist"/>
        <w:numPr>
          <w:ilvl w:val="3"/>
          <w:numId w:val="19"/>
        </w:numPr>
        <w:spacing w:after="120" w:line="276" w:lineRule="auto"/>
        <w:ind w:left="1560"/>
        <w:jc w:val="both"/>
        <w:rPr>
          <w:sz w:val="20"/>
          <w:szCs w:val="20"/>
        </w:rPr>
      </w:pPr>
      <w:r w:rsidRPr="002901C0">
        <w:rPr>
          <w:rFonts w:cs="Times New Roman"/>
          <w:sz w:val="20"/>
          <w:szCs w:val="20"/>
        </w:rPr>
        <w:t xml:space="preserve"> data i godzina wydania zmarłego</w:t>
      </w:r>
    </w:p>
    <w:p w14:paraId="4CC941F0" w14:textId="77777777" w:rsidR="003F012A" w:rsidRPr="002901C0" w:rsidRDefault="003F012A" w:rsidP="003F012A">
      <w:pPr>
        <w:pStyle w:val="Akapitzlist"/>
        <w:numPr>
          <w:ilvl w:val="3"/>
          <w:numId w:val="19"/>
        </w:numPr>
        <w:spacing w:after="120" w:line="276" w:lineRule="auto"/>
        <w:ind w:left="1560"/>
        <w:jc w:val="both"/>
        <w:rPr>
          <w:sz w:val="20"/>
          <w:szCs w:val="20"/>
        </w:rPr>
      </w:pPr>
      <w:r w:rsidRPr="002901C0">
        <w:rPr>
          <w:rFonts w:cs="Times New Roman"/>
          <w:sz w:val="20"/>
          <w:szCs w:val="20"/>
        </w:rPr>
        <w:t xml:space="preserve"> dane osoby wydającej zmarłego</w:t>
      </w:r>
    </w:p>
    <w:p w14:paraId="5FF3749E" w14:textId="77777777" w:rsidR="003F012A" w:rsidRPr="002901C0" w:rsidRDefault="003F012A" w:rsidP="003F012A">
      <w:pPr>
        <w:pStyle w:val="Akapitzlist"/>
        <w:numPr>
          <w:ilvl w:val="3"/>
          <w:numId w:val="19"/>
        </w:numPr>
        <w:spacing w:after="120" w:line="276" w:lineRule="auto"/>
        <w:ind w:left="1560"/>
        <w:jc w:val="both"/>
        <w:rPr>
          <w:sz w:val="20"/>
          <w:szCs w:val="20"/>
        </w:rPr>
      </w:pPr>
      <w:r w:rsidRPr="002901C0">
        <w:rPr>
          <w:rFonts w:cs="Times New Roman"/>
          <w:sz w:val="20"/>
          <w:szCs w:val="20"/>
        </w:rPr>
        <w:t xml:space="preserve"> dane osoby lub instytucji odbierającej zmarłego</w:t>
      </w:r>
    </w:p>
    <w:p w14:paraId="19CDC8D6" w14:textId="77777777" w:rsidR="003F012A" w:rsidRPr="002901C0" w:rsidRDefault="003F012A" w:rsidP="003F012A">
      <w:pPr>
        <w:pStyle w:val="Akapitzlist"/>
        <w:numPr>
          <w:ilvl w:val="3"/>
          <w:numId w:val="19"/>
        </w:numPr>
        <w:spacing w:after="120" w:line="276" w:lineRule="auto"/>
        <w:ind w:left="1560"/>
        <w:jc w:val="both"/>
        <w:rPr>
          <w:sz w:val="20"/>
          <w:szCs w:val="20"/>
        </w:rPr>
      </w:pPr>
      <w:r w:rsidRPr="002901C0">
        <w:rPr>
          <w:rFonts w:cs="Times New Roman"/>
          <w:sz w:val="20"/>
          <w:szCs w:val="20"/>
        </w:rPr>
        <w:t xml:space="preserve"> walidacja chronologii dat dotyczących zmarłego, jego przyjęcia i wydania.</w:t>
      </w:r>
    </w:p>
    <w:p w14:paraId="069E81C1" w14:textId="77777777" w:rsidR="003F012A" w:rsidRPr="002901C0" w:rsidRDefault="003F012A" w:rsidP="003F012A">
      <w:pPr>
        <w:pStyle w:val="Nagwek1"/>
        <w:numPr>
          <w:ilvl w:val="0"/>
          <w:numId w:val="19"/>
        </w:numPr>
        <w:jc w:val="both"/>
        <w:rPr>
          <w:rFonts w:asciiTheme="minorHAnsi" w:hAnsiTheme="minorHAnsi" w:cs="Times New Roman"/>
          <w:sz w:val="20"/>
          <w:szCs w:val="20"/>
        </w:rPr>
      </w:pPr>
      <w:bookmarkStart w:id="32" w:name="_Toc197942692"/>
      <w:r w:rsidRPr="002901C0">
        <w:rPr>
          <w:rFonts w:asciiTheme="minorHAnsi" w:hAnsiTheme="minorHAnsi" w:cs="Times New Roman"/>
          <w:sz w:val="20"/>
          <w:szCs w:val="20"/>
        </w:rPr>
        <w:t>Rozliczenia finansowe</w:t>
      </w:r>
      <w:bookmarkEnd w:id="32"/>
    </w:p>
    <w:p w14:paraId="09E46B95" w14:textId="77777777" w:rsidR="003F012A" w:rsidRPr="002901C0" w:rsidRDefault="003F012A" w:rsidP="003F012A">
      <w:pPr>
        <w:jc w:val="both"/>
        <w:rPr>
          <w:sz w:val="20"/>
          <w:szCs w:val="20"/>
        </w:rPr>
      </w:pPr>
    </w:p>
    <w:p w14:paraId="1AFFFBE3" w14:textId="77777777" w:rsidR="003F012A" w:rsidRPr="002901C0" w:rsidRDefault="003F012A" w:rsidP="003F012A">
      <w:pPr>
        <w:pStyle w:val="Akapitzlist"/>
        <w:numPr>
          <w:ilvl w:val="1"/>
          <w:numId w:val="19"/>
        </w:numPr>
        <w:spacing w:after="120" w:line="276" w:lineRule="auto"/>
        <w:ind w:left="426"/>
        <w:jc w:val="both"/>
        <w:rPr>
          <w:rFonts w:cs="Times New Roman"/>
          <w:sz w:val="20"/>
          <w:szCs w:val="20"/>
        </w:rPr>
      </w:pPr>
      <w:r w:rsidRPr="002901C0">
        <w:rPr>
          <w:rFonts w:cs="Times New Roman"/>
          <w:sz w:val="20"/>
          <w:szCs w:val="20"/>
        </w:rPr>
        <w:t>Automatyczna rejestracja zdarzeń rozliczeniowych takich jak:</w:t>
      </w:r>
    </w:p>
    <w:p w14:paraId="696EF540" w14:textId="77777777" w:rsidR="003F012A" w:rsidRPr="002901C0" w:rsidRDefault="003F012A" w:rsidP="003F012A">
      <w:pPr>
        <w:pStyle w:val="Akapitzlist"/>
        <w:numPr>
          <w:ilvl w:val="2"/>
          <w:numId w:val="19"/>
        </w:numPr>
        <w:spacing w:after="120" w:line="276" w:lineRule="auto"/>
        <w:ind w:left="851"/>
        <w:jc w:val="both"/>
        <w:rPr>
          <w:rFonts w:cs="Times New Roman"/>
          <w:sz w:val="20"/>
          <w:szCs w:val="20"/>
        </w:rPr>
      </w:pPr>
      <w:r w:rsidRPr="002901C0">
        <w:rPr>
          <w:rFonts w:cs="Times New Roman"/>
          <w:sz w:val="20"/>
          <w:szCs w:val="20"/>
        </w:rPr>
        <w:t>przyjęcie zmarłego</w:t>
      </w:r>
    </w:p>
    <w:p w14:paraId="60C38485" w14:textId="77777777" w:rsidR="003F012A" w:rsidRPr="002901C0" w:rsidRDefault="003F012A" w:rsidP="003F012A">
      <w:pPr>
        <w:pStyle w:val="Akapitzlist"/>
        <w:numPr>
          <w:ilvl w:val="2"/>
          <w:numId w:val="19"/>
        </w:numPr>
        <w:spacing w:after="120" w:line="276" w:lineRule="auto"/>
        <w:ind w:left="851"/>
        <w:jc w:val="both"/>
        <w:rPr>
          <w:rFonts w:cs="Times New Roman"/>
          <w:sz w:val="20"/>
          <w:szCs w:val="20"/>
        </w:rPr>
      </w:pPr>
      <w:r w:rsidRPr="002901C0">
        <w:rPr>
          <w:rFonts w:cs="Times New Roman"/>
          <w:sz w:val="20"/>
          <w:szCs w:val="20"/>
        </w:rPr>
        <w:t>przechowanie zmarłego</w:t>
      </w:r>
    </w:p>
    <w:p w14:paraId="47BFCE37" w14:textId="77777777" w:rsidR="003F012A" w:rsidRPr="002901C0" w:rsidRDefault="003F012A" w:rsidP="003F012A">
      <w:pPr>
        <w:pStyle w:val="Akapitzlist"/>
        <w:numPr>
          <w:ilvl w:val="2"/>
          <w:numId w:val="19"/>
        </w:numPr>
        <w:spacing w:after="120" w:line="276" w:lineRule="auto"/>
        <w:ind w:left="851"/>
        <w:jc w:val="both"/>
        <w:rPr>
          <w:rFonts w:cs="Times New Roman"/>
          <w:sz w:val="20"/>
          <w:szCs w:val="20"/>
        </w:rPr>
      </w:pPr>
      <w:r w:rsidRPr="002901C0">
        <w:rPr>
          <w:rFonts w:cs="Times New Roman"/>
          <w:sz w:val="20"/>
          <w:szCs w:val="20"/>
        </w:rPr>
        <w:t>wydanie zmarłego.</w:t>
      </w:r>
    </w:p>
    <w:p w14:paraId="2456DD0A" w14:textId="77777777" w:rsidR="003F012A" w:rsidRPr="002901C0" w:rsidRDefault="003F012A" w:rsidP="003F012A">
      <w:pPr>
        <w:pStyle w:val="Akapitzlist"/>
        <w:numPr>
          <w:ilvl w:val="1"/>
          <w:numId w:val="19"/>
        </w:numPr>
        <w:spacing w:after="120" w:line="276" w:lineRule="auto"/>
        <w:ind w:left="426"/>
        <w:jc w:val="both"/>
        <w:rPr>
          <w:rFonts w:cs="Times New Roman"/>
          <w:sz w:val="20"/>
          <w:szCs w:val="20"/>
        </w:rPr>
      </w:pPr>
      <w:r w:rsidRPr="002901C0">
        <w:rPr>
          <w:rFonts w:cs="Times New Roman"/>
          <w:sz w:val="20"/>
          <w:szCs w:val="20"/>
        </w:rPr>
        <w:lastRenderedPageBreak/>
        <w:t>Możliwość automatycznego obliczania liczby rozliczeniowej zdarzenia rozliczeniowego również w dowolny sposób nieliniowy (np. rozliczenie wg liczby dni roboczych przechowania zwłok z uwzględnieniem pierwszych dni wliczonych w koszt przyjęcia zwłok).</w:t>
      </w:r>
    </w:p>
    <w:p w14:paraId="336A7FEE" w14:textId="77777777" w:rsidR="003F012A" w:rsidRPr="002901C0" w:rsidRDefault="003F012A" w:rsidP="003F012A">
      <w:pPr>
        <w:pStyle w:val="Akapitzlist"/>
        <w:numPr>
          <w:ilvl w:val="1"/>
          <w:numId w:val="19"/>
        </w:numPr>
        <w:spacing w:after="120" w:line="276" w:lineRule="auto"/>
        <w:ind w:left="426"/>
        <w:jc w:val="both"/>
        <w:rPr>
          <w:rFonts w:cs="Times New Roman"/>
          <w:sz w:val="20"/>
          <w:szCs w:val="20"/>
        </w:rPr>
      </w:pPr>
      <w:r w:rsidRPr="002901C0">
        <w:rPr>
          <w:rFonts w:cs="Times New Roman"/>
          <w:sz w:val="20"/>
          <w:szCs w:val="20"/>
        </w:rPr>
        <w:t>Możliwość ręcznej rejestracji dodatkowych zdarzeń rozliczeniowych dowolnego rodzaju.</w:t>
      </w:r>
    </w:p>
    <w:p w14:paraId="17BAA940" w14:textId="77777777" w:rsidR="003F012A" w:rsidRPr="002901C0" w:rsidRDefault="003F012A" w:rsidP="003F012A">
      <w:pPr>
        <w:pStyle w:val="Akapitzlist"/>
        <w:numPr>
          <w:ilvl w:val="1"/>
          <w:numId w:val="19"/>
        </w:numPr>
        <w:spacing w:after="120" w:line="276" w:lineRule="auto"/>
        <w:ind w:left="426"/>
        <w:jc w:val="both"/>
        <w:rPr>
          <w:rFonts w:cs="Times New Roman"/>
          <w:sz w:val="20"/>
          <w:szCs w:val="20"/>
        </w:rPr>
      </w:pPr>
      <w:r w:rsidRPr="002901C0">
        <w:rPr>
          <w:rFonts w:cs="Times New Roman"/>
          <w:sz w:val="20"/>
          <w:szCs w:val="20"/>
        </w:rPr>
        <w:t>Uwzględnienie rozliczeń dotyczących zmarłego w raportach rozliczeniowych dotyczących zleceniodawców, personelu oraz kosztowych.</w:t>
      </w:r>
    </w:p>
    <w:p w14:paraId="6EFBC348" w14:textId="77777777" w:rsidR="003F012A" w:rsidRPr="002901C0" w:rsidRDefault="003F012A" w:rsidP="003F012A">
      <w:pPr>
        <w:pStyle w:val="Akapitzlist"/>
        <w:numPr>
          <w:ilvl w:val="1"/>
          <w:numId w:val="19"/>
        </w:numPr>
        <w:spacing w:after="120" w:line="276" w:lineRule="auto"/>
        <w:ind w:left="426"/>
        <w:jc w:val="both"/>
        <w:rPr>
          <w:rFonts w:cs="Times New Roman"/>
          <w:sz w:val="20"/>
          <w:szCs w:val="20"/>
        </w:rPr>
      </w:pPr>
      <w:r w:rsidRPr="002901C0">
        <w:rPr>
          <w:rFonts w:cs="Times New Roman"/>
          <w:sz w:val="20"/>
          <w:szCs w:val="20"/>
        </w:rPr>
        <w:t>Możliwość uwzględnienia pozycji rozliczeniowych związanych z obsługą zmarłego na fakturach dla zleceniodawców i fakturach wystawianych przez personel.</w:t>
      </w:r>
    </w:p>
    <w:p w14:paraId="4B7F827D" w14:textId="77777777" w:rsidR="003F012A" w:rsidRPr="002901C0" w:rsidRDefault="003F012A" w:rsidP="003F012A">
      <w:pPr>
        <w:pStyle w:val="Akapitzlist"/>
        <w:numPr>
          <w:ilvl w:val="1"/>
          <w:numId w:val="19"/>
        </w:numPr>
        <w:spacing w:after="120" w:line="276" w:lineRule="auto"/>
        <w:ind w:left="426"/>
        <w:jc w:val="both"/>
        <w:rPr>
          <w:rFonts w:cs="Times New Roman"/>
          <w:sz w:val="20"/>
          <w:szCs w:val="20"/>
        </w:rPr>
      </w:pPr>
      <w:r w:rsidRPr="002901C0">
        <w:rPr>
          <w:rFonts w:cs="Times New Roman"/>
          <w:sz w:val="20"/>
          <w:szCs w:val="20"/>
        </w:rPr>
        <w:t>Możliwość określania ceny za dowolne zdarzenie rozliczeniowe z dokładnością do typu zdarzenia rozliczeniowego, jednostki organizacyjnej, zleceniodawcy oraz rozliczanego personelu.</w:t>
      </w:r>
    </w:p>
    <w:p w14:paraId="0D7F9F07" w14:textId="16EA2F3B" w:rsidR="003F012A" w:rsidRPr="007942C7" w:rsidRDefault="003F012A" w:rsidP="003F012A">
      <w:pPr>
        <w:pStyle w:val="Nagwek1"/>
        <w:numPr>
          <w:ilvl w:val="0"/>
          <w:numId w:val="19"/>
        </w:numPr>
        <w:rPr>
          <w:rFonts w:asciiTheme="minorHAnsi" w:hAnsiTheme="minorHAnsi" w:cs="Times New Roman"/>
          <w:sz w:val="20"/>
          <w:szCs w:val="20"/>
        </w:rPr>
      </w:pPr>
      <w:bookmarkStart w:id="33" w:name="_Toc197942693"/>
      <w:r w:rsidRPr="002901C0">
        <w:rPr>
          <w:rFonts w:asciiTheme="minorHAnsi" w:hAnsiTheme="minorHAnsi" w:cs="Times New Roman"/>
          <w:sz w:val="20"/>
          <w:szCs w:val="20"/>
        </w:rPr>
        <w:t>Raporty dotyczące prosektorium</w:t>
      </w:r>
      <w:bookmarkEnd w:id="33"/>
    </w:p>
    <w:p w14:paraId="740498BF" w14:textId="77777777" w:rsidR="003F012A" w:rsidRPr="002901C0" w:rsidRDefault="003F012A" w:rsidP="003F012A">
      <w:pPr>
        <w:pStyle w:val="Akapitzlist"/>
        <w:numPr>
          <w:ilvl w:val="1"/>
          <w:numId w:val="19"/>
        </w:numPr>
        <w:spacing w:after="120" w:line="276" w:lineRule="auto"/>
        <w:ind w:left="426"/>
        <w:jc w:val="both"/>
        <w:rPr>
          <w:rFonts w:cs="Times New Roman"/>
          <w:sz w:val="20"/>
          <w:szCs w:val="20"/>
        </w:rPr>
      </w:pPr>
      <w:r w:rsidRPr="002901C0">
        <w:rPr>
          <w:rFonts w:cs="Times New Roman"/>
          <w:sz w:val="20"/>
          <w:szCs w:val="20"/>
        </w:rPr>
        <w:t>Możliwość wygenerowania i wydrukowania zbiorczych raportów dotyczących zmarłych:</w:t>
      </w:r>
    </w:p>
    <w:p w14:paraId="6F64C2FB" w14:textId="77777777" w:rsidR="003F012A" w:rsidRPr="002901C0" w:rsidRDefault="003F012A" w:rsidP="003F012A">
      <w:pPr>
        <w:pStyle w:val="Akapitzlist"/>
        <w:numPr>
          <w:ilvl w:val="2"/>
          <w:numId w:val="19"/>
        </w:numPr>
        <w:spacing w:after="120" w:line="276" w:lineRule="auto"/>
        <w:ind w:left="851"/>
        <w:jc w:val="both"/>
        <w:rPr>
          <w:rFonts w:cs="Times New Roman"/>
          <w:sz w:val="20"/>
          <w:szCs w:val="20"/>
        </w:rPr>
      </w:pPr>
      <w:r w:rsidRPr="002901C0">
        <w:rPr>
          <w:rFonts w:cs="Times New Roman"/>
          <w:sz w:val="20"/>
          <w:szCs w:val="20"/>
        </w:rPr>
        <w:t xml:space="preserve"> księgi przyjęć zmarłych</w:t>
      </w:r>
    </w:p>
    <w:p w14:paraId="07991118" w14:textId="77777777" w:rsidR="003F012A" w:rsidRPr="002901C0" w:rsidRDefault="003F012A" w:rsidP="003F012A">
      <w:pPr>
        <w:pStyle w:val="Akapitzlist"/>
        <w:numPr>
          <w:ilvl w:val="2"/>
          <w:numId w:val="19"/>
        </w:numPr>
        <w:spacing w:after="120" w:line="276" w:lineRule="auto"/>
        <w:ind w:left="851"/>
        <w:jc w:val="both"/>
        <w:rPr>
          <w:rFonts w:cs="Times New Roman"/>
          <w:sz w:val="20"/>
          <w:szCs w:val="20"/>
        </w:rPr>
      </w:pPr>
      <w:r w:rsidRPr="002901C0">
        <w:rPr>
          <w:rFonts w:cs="Times New Roman"/>
          <w:sz w:val="20"/>
          <w:szCs w:val="20"/>
        </w:rPr>
        <w:t xml:space="preserve"> księgi wydań zmarłych</w:t>
      </w:r>
    </w:p>
    <w:p w14:paraId="16318D94" w14:textId="77777777" w:rsidR="003F012A" w:rsidRPr="002901C0" w:rsidRDefault="003F012A" w:rsidP="003F012A">
      <w:pPr>
        <w:pStyle w:val="Akapitzlist"/>
        <w:numPr>
          <w:ilvl w:val="2"/>
          <w:numId w:val="19"/>
        </w:numPr>
        <w:spacing w:after="120" w:line="276" w:lineRule="auto"/>
        <w:ind w:left="851"/>
        <w:jc w:val="both"/>
        <w:rPr>
          <w:rFonts w:cs="Times New Roman"/>
          <w:sz w:val="20"/>
          <w:szCs w:val="20"/>
        </w:rPr>
      </w:pPr>
      <w:r w:rsidRPr="002901C0">
        <w:rPr>
          <w:rFonts w:cs="Times New Roman"/>
          <w:sz w:val="20"/>
          <w:szCs w:val="20"/>
        </w:rPr>
        <w:t xml:space="preserve"> księgi zgonów.</w:t>
      </w:r>
    </w:p>
    <w:p w14:paraId="061121AA" w14:textId="77777777" w:rsidR="003F012A" w:rsidRPr="002901C0" w:rsidRDefault="003F012A" w:rsidP="003F012A">
      <w:pPr>
        <w:pStyle w:val="Akapitzlist"/>
        <w:numPr>
          <w:ilvl w:val="1"/>
          <w:numId w:val="19"/>
        </w:numPr>
        <w:spacing w:after="120" w:line="276" w:lineRule="auto"/>
        <w:ind w:left="426"/>
        <w:jc w:val="both"/>
        <w:rPr>
          <w:rFonts w:cs="Times New Roman"/>
          <w:sz w:val="20"/>
          <w:szCs w:val="20"/>
        </w:rPr>
      </w:pPr>
      <w:r w:rsidRPr="002901C0">
        <w:rPr>
          <w:rFonts w:cs="Times New Roman"/>
          <w:sz w:val="20"/>
          <w:szCs w:val="20"/>
        </w:rPr>
        <w:t>Możliwość dowolnego dostosowania szablonu wydruku zbiorczych raportów dotyczących zmarłych.</w:t>
      </w:r>
    </w:p>
    <w:p w14:paraId="5A452164" w14:textId="77777777" w:rsidR="003F012A" w:rsidRPr="002901C0" w:rsidRDefault="003F012A" w:rsidP="003F012A">
      <w:pPr>
        <w:pStyle w:val="Akapitzlist"/>
        <w:numPr>
          <w:ilvl w:val="1"/>
          <w:numId w:val="19"/>
        </w:numPr>
        <w:spacing w:after="120" w:line="276" w:lineRule="auto"/>
        <w:ind w:left="426"/>
        <w:jc w:val="both"/>
        <w:rPr>
          <w:rFonts w:cs="Times New Roman"/>
          <w:sz w:val="20"/>
          <w:szCs w:val="20"/>
        </w:rPr>
      </w:pPr>
      <w:r w:rsidRPr="002901C0">
        <w:rPr>
          <w:rFonts w:cs="Times New Roman"/>
          <w:sz w:val="20"/>
          <w:szCs w:val="20"/>
        </w:rPr>
        <w:t>Możliwość dodania dowolnego zbiorczego raportu bez konieczności aktualizacji systemu.</w:t>
      </w:r>
    </w:p>
    <w:p w14:paraId="291EE0BB" w14:textId="77777777" w:rsidR="003F012A" w:rsidRPr="002901C0" w:rsidRDefault="003F012A" w:rsidP="003F012A">
      <w:pPr>
        <w:pStyle w:val="Akapitzlist"/>
        <w:numPr>
          <w:ilvl w:val="1"/>
          <w:numId w:val="19"/>
        </w:numPr>
        <w:spacing w:after="120" w:line="276" w:lineRule="auto"/>
        <w:ind w:left="426"/>
        <w:jc w:val="both"/>
        <w:rPr>
          <w:rFonts w:cs="Times New Roman"/>
          <w:sz w:val="20"/>
          <w:szCs w:val="20"/>
        </w:rPr>
      </w:pPr>
      <w:r w:rsidRPr="002901C0">
        <w:rPr>
          <w:rFonts w:cs="Times New Roman"/>
          <w:sz w:val="20"/>
          <w:szCs w:val="20"/>
        </w:rPr>
        <w:t>Możliwość wygenerowania i wydrukowania dokumentów dotyczących pojedynczych zmarłych:</w:t>
      </w:r>
    </w:p>
    <w:p w14:paraId="20A032E3" w14:textId="77777777" w:rsidR="003F012A" w:rsidRPr="002901C0" w:rsidRDefault="003F012A" w:rsidP="003F012A">
      <w:pPr>
        <w:pStyle w:val="Akapitzlist"/>
        <w:numPr>
          <w:ilvl w:val="2"/>
          <w:numId w:val="19"/>
        </w:numPr>
        <w:spacing w:after="120" w:line="276" w:lineRule="auto"/>
        <w:ind w:left="851"/>
        <w:jc w:val="both"/>
        <w:rPr>
          <w:rFonts w:cs="Times New Roman"/>
          <w:sz w:val="20"/>
          <w:szCs w:val="20"/>
        </w:rPr>
      </w:pPr>
      <w:r w:rsidRPr="002901C0">
        <w:rPr>
          <w:rFonts w:cs="Times New Roman"/>
          <w:sz w:val="20"/>
          <w:szCs w:val="20"/>
        </w:rPr>
        <w:t xml:space="preserve"> potwierdzenie wydania zwłok</w:t>
      </w:r>
    </w:p>
    <w:p w14:paraId="3CCCF6D9" w14:textId="77777777" w:rsidR="003F012A" w:rsidRPr="002901C0" w:rsidRDefault="003F012A" w:rsidP="003F012A">
      <w:pPr>
        <w:pStyle w:val="Akapitzlist"/>
        <w:numPr>
          <w:ilvl w:val="2"/>
          <w:numId w:val="19"/>
        </w:numPr>
        <w:spacing w:after="120" w:line="276" w:lineRule="auto"/>
        <w:ind w:left="851"/>
        <w:jc w:val="both"/>
        <w:rPr>
          <w:rFonts w:cs="Times New Roman"/>
          <w:sz w:val="20"/>
          <w:szCs w:val="20"/>
        </w:rPr>
      </w:pPr>
      <w:r w:rsidRPr="002901C0">
        <w:rPr>
          <w:rFonts w:cs="Times New Roman"/>
          <w:sz w:val="20"/>
          <w:szCs w:val="20"/>
        </w:rPr>
        <w:t xml:space="preserve"> upoważnienie do odbioru ciała</w:t>
      </w:r>
    </w:p>
    <w:p w14:paraId="1E26A825" w14:textId="77777777" w:rsidR="003F012A" w:rsidRPr="002901C0" w:rsidRDefault="003F012A" w:rsidP="003F012A">
      <w:pPr>
        <w:pStyle w:val="Akapitzlist"/>
        <w:numPr>
          <w:ilvl w:val="2"/>
          <w:numId w:val="19"/>
        </w:numPr>
        <w:spacing w:after="120" w:line="276" w:lineRule="auto"/>
        <w:ind w:left="851"/>
        <w:jc w:val="both"/>
        <w:rPr>
          <w:rFonts w:cs="Times New Roman"/>
          <w:sz w:val="20"/>
          <w:szCs w:val="20"/>
        </w:rPr>
      </w:pPr>
      <w:r w:rsidRPr="002901C0">
        <w:rPr>
          <w:rFonts w:cs="Times New Roman"/>
          <w:sz w:val="20"/>
          <w:szCs w:val="20"/>
        </w:rPr>
        <w:t xml:space="preserve"> potwierdzenie przyjęcia zwłok poza godzinami pracy.</w:t>
      </w:r>
    </w:p>
    <w:p w14:paraId="4C0D4797" w14:textId="77777777" w:rsidR="003F012A" w:rsidRPr="002901C0" w:rsidRDefault="003F012A" w:rsidP="003F012A">
      <w:pPr>
        <w:pStyle w:val="Akapitzlist"/>
        <w:numPr>
          <w:ilvl w:val="1"/>
          <w:numId w:val="19"/>
        </w:numPr>
        <w:spacing w:after="120" w:line="276" w:lineRule="auto"/>
        <w:ind w:left="426"/>
        <w:jc w:val="both"/>
        <w:rPr>
          <w:rFonts w:cs="Times New Roman"/>
          <w:sz w:val="20"/>
          <w:szCs w:val="20"/>
        </w:rPr>
      </w:pPr>
      <w:r w:rsidRPr="002901C0">
        <w:rPr>
          <w:rFonts w:cs="Times New Roman"/>
          <w:sz w:val="20"/>
          <w:szCs w:val="20"/>
        </w:rPr>
        <w:t>Możliwość dowolnego dostosowania szablonu wydruku dokumentu dotyczącego pojedynczego zmarłego.</w:t>
      </w:r>
    </w:p>
    <w:p w14:paraId="348055E1" w14:textId="77777777" w:rsidR="003F012A" w:rsidRPr="002901C0" w:rsidRDefault="003F012A" w:rsidP="003F012A">
      <w:pPr>
        <w:pStyle w:val="Akapitzlist"/>
        <w:numPr>
          <w:ilvl w:val="1"/>
          <w:numId w:val="19"/>
        </w:numPr>
        <w:spacing w:after="120" w:line="276" w:lineRule="auto"/>
        <w:ind w:left="426"/>
        <w:jc w:val="both"/>
        <w:rPr>
          <w:rFonts w:cs="Times New Roman"/>
          <w:sz w:val="20"/>
          <w:szCs w:val="20"/>
        </w:rPr>
      </w:pPr>
      <w:r w:rsidRPr="002901C0">
        <w:rPr>
          <w:rFonts w:cs="Times New Roman"/>
          <w:sz w:val="20"/>
          <w:szCs w:val="20"/>
        </w:rPr>
        <w:t>Możliwość dodania dowolnego dokumentu dotyczącego pojedynczego zmarłego bez konieczności aktualizacji systemu.</w:t>
      </w:r>
    </w:p>
    <w:p w14:paraId="47370804" w14:textId="614D707D" w:rsidR="003F012A" w:rsidRPr="007942C7" w:rsidRDefault="003F012A" w:rsidP="003F012A">
      <w:pPr>
        <w:pStyle w:val="Nagwek1"/>
        <w:numPr>
          <w:ilvl w:val="0"/>
          <w:numId w:val="19"/>
        </w:numPr>
        <w:rPr>
          <w:rFonts w:asciiTheme="minorHAnsi" w:hAnsiTheme="minorHAnsi" w:cs="Times New Roman"/>
          <w:sz w:val="20"/>
          <w:szCs w:val="20"/>
        </w:rPr>
      </w:pPr>
      <w:bookmarkStart w:id="34" w:name="_Toc197942694"/>
      <w:r w:rsidRPr="002901C0">
        <w:rPr>
          <w:rFonts w:asciiTheme="minorHAnsi" w:hAnsiTheme="minorHAnsi" w:cs="Times New Roman"/>
          <w:sz w:val="20"/>
          <w:szCs w:val="20"/>
        </w:rPr>
        <w:t>Obsługa chłodni</w:t>
      </w:r>
      <w:bookmarkEnd w:id="34"/>
    </w:p>
    <w:p w14:paraId="253B53E0" w14:textId="77777777" w:rsidR="003F012A" w:rsidRPr="002901C0" w:rsidRDefault="003F012A" w:rsidP="003F012A">
      <w:pPr>
        <w:pStyle w:val="Akapitzlist"/>
        <w:numPr>
          <w:ilvl w:val="1"/>
          <w:numId w:val="19"/>
        </w:numPr>
        <w:spacing w:after="120" w:line="276" w:lineRule="auto"/>
        <w:ind w:left="426"/>
        <w:jc w:val="both"/>
        <w:rPr>
          <w:rFonts w:cs="Times New Roman"/>
          <w:sz w:val="20"/>
          <w:szCs w:val="20"/>
        </w:rPr>
      </w:pPr>
      <w:r w:rsidRPr="002901C0">
        <w:rPr>
          <w:rFonts w:cs="Times New Roman"/>
          <w:sz w:val="20"/>
          <w:szCs w:val="20"/>
        </w:rPr>
        <w:t>Konfiguracja miejsc w danej chłodni z rozróżnieniem chłodni i numeracją miejsc.</w:t>
      </w:r>
    </w:p>
    <w:p w14:paraId="700D8AB8" w14:textId="77777777" w:rsidR="003F012A" w:rsidRPr="002901C0" w:rsidRDefault="003F012A" w:rsidP="003F012A">
      <w:pPr>
        <w:pStyle w:val="Akapitzlist"/>
        <w:numPr>
          <w:ilvl w:val="1"/>
          <w:numId w:val="19"/>
        </w:numPr>
        <w:spacing w:after="120" w:line="276" w:lineRule="auto"/>
        <w:ind w:left="426"/>
        <w:jc w:val="both"/>
        <w:rPr>
          <w:rFonts w:cs="Times New Roman"/>
          <w:sz w:val="20"/>
          <w:szCs w:val="20"/>
        </w:rPr>
      </w:pPr>
      <w:r w:rsidRPr="002901C0">
        <w:rPr>
          <w:rFonts w:cs="Times New Roman"/>
          <w:sz w:val="20"/>
          <w:szCs w:val="20"/>
        </w:rPr>
        <w:t>Możliwość powołania miejsca przechowującego wielu zmarłych (np. do przechowywania płodów/noworodków).</w:t>
      </w:r>
    </w:p>
    <w:p w14:paraId="528FA696" w14:textId="77777777" w:rsidR="003F012A" w:rsidRPr="002901C0" w:rsidRDefault="003F012A" w:rsidP="003F012A">
      <w:pPr>
        <w:pStyle w:val="Akapitzlist"/>
        <w:numPr>
          <w:ilvl w:val="1"/>
          <w:numId w:val="19"/>
        </w:numPr>
        <w:spacing w:after="120" w:line="276" w:lineRule="auto"/>
        <w:ind w:left="426"/>
        <w:jc w:val="both"/>
        <w:rPr>
          <w:rFonts w:cs="Times New Roman"/>
          <w:sz w:val="20"/>
          <w:szCs w:val="20"/>
        </w:rPr>
      </w:pPr>
      <w:r w:rsidRPr="002901C0">
        <w:rPr>
          <w:rFonts w:cs="Times New Roman"/>
          <w:sz w:val="20"/>
          <w:szCs w:val="20"/>
        </w:rPr>
        <w:t>Możliwość sprawdzenia bieżącego stanu chłodni.</w:t>
      </w:r>
    </w:p>
    <w:p w14:paraId="6BF697FD" w14:textId="77777777" w:rsidR="003F012A" w:rsidRPr="002901C0" w:rsidRDefault="003F012A" w:rsidP="003F012A">
      <w:pPr>
        <w:pStyle w:val="Akapitzlist"/>
        <w:numPr>
          <w:ilvl w:val="1"/>
          <w:numId w:val="19"/>
        </w:numPr>
        <w:spacing w:after="120" w:line="276" w:lineRule="auto"/>
        <w:ind w:left="426"/>
        <w:jc w:val="both"/>
        <w:rPr>
          <w:rFonts w:cs="Times New Roman"/>
          <w:sz w:val="20"/>
          <w:szCs w:val="20"/>
        </w:rPr>
      </w:pPr>
      <w:r w:rsidRPr="002901C0">
        <w:rPr>
          <w:rFonts w:cs="Times New Roman"/>
          <w:sz w:val="20"/>
          <w:szCs w:val="20"/>
        </w:rPr>
        <w:t>Możliwość wiązania przyjętego zmarłego ze zleceniem sekcji zwłok.</w:t>
      </w:r>
    </w:p>
    <w:p w14:paraId="6E31BA65" w14:textId="77777777" w:rsidR="003F012A" w:rsidRPr="002901C0" w:rsidRDefault="003F012A" w:rsidP="003F012A">
      <w:pPr>
        <w:pStyle w:val="Akapitzlist"/>
        <w:numPr>
          <w:ilvl w:val="1"/>
          <w:numId w:val="19"/>
        </w:numPr>
        <w:spacing w:after="120" w:line="276" w:lineRule="auto"/>
        <w:ind w:left="426"/>
        <w:jc w:val="both"/>
        <w:rPr>
          <w:rFonts w:cs="Times New Roman"/>
          <w:sz w:val="20"/>
          <w:szCs w:val="20"/>
        </w:rPr>
      </w:pPr>
      <w:r w:rsidRPr="002901C0">
        <w:rPr>
          <w:rFonts w:cs="Times New Roman"/>
          <w:sz w:val="20"/>
          <w:szCs w:val="20"/>
        </w:rPr>
        <w:t>Możliwość automatycznego podpowiadania zmarłego w zleceniu sekcji zwłok przy zgodności PESEL.</w:t>
      </w:r>
    </w:p>
    <w:p w14:paraId="21BC935B" w14:textId="2850D3CD" w:rsidR="003F012A" w:rsidRPr="00002C77" w:rsidRDefault="003F012A" w:rsidP="003F012A">
      <w:pPr>
        <w:pStyle w:val="Akapitzlist"/>
        <w:numPr>
          <w:ilvl w:val="1"/>
          <w:numId w:val="19"/>
        </w:numPr>
        <w:spacing w:after="120" w:line="276" w:lineRule="auto"/>
        <w:ind w:left="426"/>
        <w:jc w:val="both"/>
        <w:rPr>
          <w:rFonts w:cs="Times New Roman"/>
          <w:sz w:val="20"/>
          <w:szCs w:val="20"/>
        </w:rPr>
      </w:pPr>
      <w:r w:rsidRPr="002901C0">
        <w:rPr>
          <w:rFonts w:cs="Times New Roman"/>
          <w:sz w:val="20"/>
          <w:szCs w:val="20"/>
        </w:rPr>
        <w:t>Dostęp do przypadku sekcji zwłok z kontekstu danych zmarłego.</w:t>
      </w:r>
    </w:p>
    <w:p w14:paraId="41D30280" w14:textId="6CF2A8A6" w:rsidR="003F012A" w:rsidRPr="00002C77" w:rsidRDefault="003F012A" w:rsidP="002C5679">
      <w:pPr>
        <w:pStyle w:val="Nagwek1"/>
        <w:numPr>
          <w:ilvl w:val="0"/>
          <w:numId w:val="21"/>
        </w:numPr>
        <w:rPr>
          <w:rFonts w:asciiTheme="minorHAnsi" w:hAnsiTheme="minorHAnsi" w:cs="Times New Roman"/>
          <w:color w:val="auto"/>
          <w:sz w:val="20"/>
          <w:szCs w:val="20"/>
        </w:rPr>
      </w:pPr>
      <w:bookmarkStart w:id="35" w:name="_Toc203114784"/>
      <w:r w:rsidRPr="002901C0">
        <w:rPr>
          <w:rFonts w:asciiTheme="minorHAnsi" w:hAnsiTheme="minorHAnsi" w:cs="Times New Roman"/>
          <w:color w:val="auto"/>
          <w:sz w:val="20"/>
          <w:szCs w:val="20"/>
        </w:rPr>
        <w:t>Dostawa urządzeń</w:t>
      </w:r>
      <w:bookmarkEnd w:id="35"/>
    </w:p>
    <w:p w14:paraId="5713AD6F" w14:textId="07649E93" w:rsidR="003F012A" w:rsidRPr="002901C0" w:rsidRDefault="003F012A" w:rsidP="002C5679">
      <w:pPr>
        <w:pStyle w:val="Akapitzlist"/>
        <w:numPr>
          <w:ilvl w:val="1"/>
          <w:numId w:val="21"/>
        </w:numPr>
        <w:spacing w:after="120" w:line="276" w:lineRule="auto"/>
        <w:ind w:left="426"/>
        <w:jc w:val="both"/>
        <w:rPr>
          <w:rFonts w:cs="Times New Roman"/>
          <w:sz w:val="20"/>
          <w:szCs w:val="20"/>
        </w:rPr>
      </w:pPr>
      <w:r w:rsidRPr="002901C0">
        <w:rPr>
          <w:rFonts w:cs="Times New Roman"/>
          <w:sz w:val="20"/>
          <w:szCs w:val="20"/>
        </w:rPr>
        <w:t xml:space="preserve">Wykonawca w ramach wdrożenia dostarczy, zainstaluje i skonfiguruje wymieniony w punkcie </w:t>
      </w:r>
      <w:r w:rsidR="003B5E88">
        <w:rPr>
          <w:rFonts w:cs="Times New Roman"/>
          <w:sz w:val="20"/>
          <w:szCs w:val="20"/>
        </w:rPr>
        <w:t>8</w:t>
      </w:r>
      <w:r w:rsidRPr="002901C0">
        <w:rPr>
          <w:rFonts w:cs="Times New Roman"/>
          <w:sz w:val="20"/>
          <w:szCs w:val="20"/>
        </w:rPr>
        <w:t>, fabrycznie nowy, sprzęt informatyczny o parametrach technicznych i użytkowych wskazanych w tabeli. Zamawiający odpowiada za doprowadzenie zasilania i gniazd sieciowych z dostępem do serwera, na którym zostanie zainstalowany oferowany system, do wszystkich miejsc instalacji sprzętu. Dostarczony sprzęt komputerowy musi mieć możliwość współpracy z domeną Active Directory Zamawiającego (o ile dotyczy) oraz gwarantować optymalną i ergonomiczną pracę w oferowanym systemie – w tym celu Wykonawca dostarczy odpowiednie mechaniczne elementy montażowe, np. wieszaki, uchwyty.</w:t>
      </w:r>
    </w:p>
    <w:p w14:paraId="28F1595C" w14:textId="77777777" w:rsidR="003F012A" w:rsidRPr="002901C0" w:rsidRDefault="003F012A" w:rsidP="002C5679">
      <w:pPr>
        <w:pStyle w:val="Akapitzlist"/>
        <w:numPr>
          <w:ilvl w:val="1"/>
          <w:numId w:val="21"/>
        </w:numPr>
        <w:spacing w:after="120" w:line="276" w:lineRule="auto"/>
        <w:ind w:left="426"/>
        <w:jc w:val="both"/>
        <w:rPr>
          <w:rFonts w:cs="Times New Roman"/>
          <w:sz w:val="20"/>
          <w:szCs w:val="20"/>
        </w:rPr>
      </w:pPr>
      <w:r w:rsidRPr="002901C0">
        <w:rPr>
          <w:rFonts w:cs="Times New Roman"/>
          <w:sz w:val="20"/>
          <w:szCs w:val="20"/>
        </w:rPr>
        <w:lastRenderedPageBreak/>
        <w:t>Dostawa innego sprzętu i okablowania niezbędnego do uruchomienia zadeklarowanej funkcjonalności systemu i ergonomicznego montażu urządzeń.</w:t>
      </w:r>
    </w:p>
    <w:p w14:paraId="22ED96BB" w14:textId="546529CD" w:rsidR="003F012A" w:rsidRPr="00F00484" w:rsidRDefault="003F012A" w:rsidP="003F012A">
      <w:pPr>
        <w:pStyle w:val="Nagwek1"/>
        <w:numPr>
          <w:ilvl w:val="0"/>
          <w:numId w:val="21"/>
        </w:numPr>
        <w:ind w:left="720"/>
        <w:rPr>
          <w:rFonts w:asciiTheme="minorHAnsi" w:hAnsiTheme="minorHAnsi" w:cs="Times New Roman"/>
          <w:color w:val="auto"/>
          <w:sz w:val="20"/>
          <w:szCs w:val="20"/>
        </w:rPr>
      </w:pPr>
      <w:bookmarkStart w:id="36" w:name="_Toc203114785"/>
      <w:r w:rsidRPr="002901C0">
        <w:rPr>
          <w:rFonts w:asciiTheme="minorHAnsi" w:hAnsiTheme="minorHAnsi" w:cs="Times New Roman"/>
          <w:color w:val="auto"/>
          <w:sz w:val="20"/>
          <w:szCs w:val="20"/>
        </w:rPr>
        <w:t>Pozostałe wymagania i warunki wykonania zamówienia</w:t>
      </w:r>
      <w:bookmarkEnd w:id="36"/>
    </w:p>
    <w:p w14:paraId="0FBC40C7" w14:textId="6C474259" w:rsidR="003F012A" w:rsidRPr="002901C0" w:rsidRDefault="003F012A" w:rsidP="002C5679">
      <w:pPr>
        <w:pStyle w:val="Akapitzlist"/>
        <w:numPr>
          <w:ilvl w:val="1"/>
          <w:numId w:val="21"/>
        </w:numPr>
        <w:spacing w:after="120" w:line="276" w:lineRule="auto"/>
        <w:ind w:left="426"/>
        <w:jc w:val="both"/>
        <w:rPr>
          <w:rFonts w:cs="Times New Roman"/>
          <w:sz w:val="20"/>
          <w:szCs w:val="20"/>
        </w:rPr>
      </w:pPr>
      <w:r w:rsidRPr="002901C0">
        <w:rPr>
          <w:rFonts w:cs="Times New Roman"/>
          <w:sz w:val="20"/>
          <w:szCs w:val="20"/>
        </w:rPr>
        <w:t xml:space="preserve">Termin wdrożenia systemu nie dłuższy niż </w:t>
      </w:r>
      <w:r w:rsidR="002471F7">
        <w:rPr>
          <w:rFonts w:cs="Times New Roman"/>
          <w:sz w:val="20"/>
          <w:szCs w:val="20"/>
        </w:rPr>
        <w:t>........</w:t>
      </w:r>
      <w:r w:rsidR="00735957">
        <w:rPr>
          <w:rFonts w:cs="Times New Roman"/>
          <w:sz w:val="20"/>
          <w:szCs w:val="20"/>
        </w:rPr>
        <w:t xml:space="preserve"> roku, </w:t>
      </w:r>
      <w:r w:rsidRPr="002901C0">
        <w:rPr>
          <w:rFonts w:cs="Times New Roman"/>
          <w:sz w:val="20"/>
          <w:szCs w:val="20"/>
        </w:rPr>
        <w:t>od daty podpisania umowy zakończony podpisaniem protokołu odbioru.</w:t>
      </w:r>
    </w:p>
    <w:p w14:paraId="440DD8A7" w14:textId="2759EF62" w:rsidR="003F012A" w:rsidRPr="002901C0" w:rsidRDefault="002C5679" w:rsidP="003F012A">
      <w:pPr>
        <w:pStyle w:val="Nagwek1"/>
        <w:ind w:left="709" w:hanging="425"/>
        <w:rPr>
          <w:rFonts w:asciiTheme="minorHAnsi" w:eastAsiaTheme="minorHAnsi" w:hAnsiTheme="minorHAnsi"/>
          <w:color w:val="auto"/>
          <w:sz w:val="20"/>
          <w:szCs w:val="20"/>
        </w:rPr>
      </w:pPr>
      <w:r>
        <w:rPr>
          <w:rFonts w:asciiTheme="minorHAnsi" w:hAnsiTheme="minorHAnsi"/>
          <w:color w:val="auto"/>
          <w:sz w:val="20"/>
          <w:szCs w:val="20"/>
        </w:rPr>
        <w:t>8</w:t>
      </w:r>
      <w:r w:rsidR="003F012A" w:rsidRPr="002901C0">
        <w:rPr>
          <w:rFonts w:asciiTheme="minorHAnsi" w:hAnsiTheme="minorHAnsi"/>
          <w:color w:val="auto"/>
          <w:sz w:val="20"/>
          <w:szCs w:val="20"/>
        </w:rPr>
        <w:t xml:space="preserve">. </w:t>
      </w:r>
      <w:r w:rsidR="003F012A" w:rsidRPr="002901C0">
        <w:rPr>
          <w:rFonts w:asciiTheme="minorHAnsi" w:hAnsiTheme="minorHAnsi"/>
          <w:color w:val="auto"/>
          <w:sz w:val="20"/>
          <w:szCs w:val="20"/>
        </w:rPr>
        <w:tab/>
        <w:t>Wykaz sprzętu informatycznego.</w:t>
      </w:r>
    </w:p>
    <w:p w14:paraId="623D47A5" w14:textId="77777777" w:rsidR="003F012A" w:rsidRPr="002901C0" w:rsidRDefault="003F012A" w:rsidP="003F012A">
      <w:pPr>
        <w:pStyle w:val="Akapitzlist"/>
        <w:spacing w:after="0" w:line="240" w:lineRule="auto"/>
        <w:ind w:left="142"/>
        <w:jc w:val="both"/>
        <w:rPr>
          <w:rFonts w:eastAsia="Times New Roman" w:cs="Times New Roman"/>
          <w:b/>
          <w:kern w:val="0"/>
          <w:sz w:val="20"/>
          <w:szCs w:val="20"/>
          <w:lang w:eastAsia="pl-PL"/>
          <w14:ligatures w14:val="none"/>
        </w:rPr>
      </w:pPr>
    </w:p>
    <w:tbl>
      <w:tblPr>
        <w:tblpPr w:leftFromText="141" w:rightFromText="141" w:bottomFromText="160" w:vertAnchor="text" w:tblpX="-176"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gridCol w:w="5366"/>
        <w:gridCol w:w="1280"/>
        <w:gridCol w:w="1924"/>
      </w:tblGrid>
      <w:tr w:rsidR="003F012A" w:rsidRPr="002901C0" w14:paraId="65A18F68" w14:textId="77777777" w:rsidTr="00F00484">
        <w:trPr>
          <w:trHeight w:val="144"/>
        </w:trPr>
        <w:tc>
          <w:tcPr>
            <w:tcW w:w="2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F281FF" w14:textId="77777777" w:rsidR="003F012A" w:rsidRPr="002901C0" w:rsidRDefault="003F012A" w:rsidP="00183676">
            <w:pPr>
              <w:spacing w:after="0" w:line="256" w:lineRule="auto"/>
              <w:jc w:val="center"/>
              <w:rPr>
                <w:rFonts w:eastAsia="Times New Roman" w:cs="Times New Roman"/>
                <w:b/>
                <w:sz w:val="20"/>
                <w:szCs w:val="20"/>
              </w:rPr>
            </w:pPr>
            <w:r w:rsidRPr="002901C0">
              <w:rPr>
                <w:rFonts w:eastAsia="Times New Roman" w:cs="Times New Roman"/>
                <w:b/>
                <w:sz w:val="20"/>
                <w:szCs w:val="20"/>
              </w:rPr>
              <w:t>Lp.</w:t>
            </w:r>
          </w:p>
        </w:tc>
        <w:tc>
          <w:tcPr>
            <w:tcW w:w="296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71F38B" w14:textId="77777777" w:rsidR="003F012A" w:rsidRPr="002901C0" w:rsidRDefault="003F012A" w:rsidP="00183676">
            <w:pPr>
              <w:spacing w:after="0" w:line="256" w:lineRule="auto"/>
              <w:jc w:val="center"/>
              <w:rPr>
                <w:rFonts w:eastAsia="Times New Roman" w:cs="Times New Roman"/>
                <w:b/>
                <w:sz w:val="20"/>
                <w:szCs w:val="20"/>
              </w:rPr>
            </w:pPr>
            <w:r w:rsidRPr="002901C0">
              <w:rPr>
                <w:rFonts w:eastAsia="Times New Roman" w:cs="Times New Roman"/>
                <w:b/>
                <w:sz w:val="20"/>
                <w:szCs w:val="20"/>
              </w:rPr>
              <w:t>Sprzęt oraz jego parametry techniczne i funkcjonalne</w:t>
            </w:r>
          </w:p>
        </w:tc>
        <w:tc>
          <w:tcPr>
            <w:tcW w:w="70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990884" w14:textId="77777777" w:rsidR="003F012A" w:rsidRPr="002901C0" w:rsidRDefault="003F012A" w:rsidP="00183676">
            <w:pPr>
              <w:spacing w:after="0" w:line="256" w:lineRule="auto"/>
              <w:jc w:val="center"/>
              <w:rPr>
                <w:rFonts w:eastAsia="Times New Roman" w:cs="Times New Roman"/>
                <w:b/>
                <w:sz w:val="20"/>
                <w:szCs w:val="20"/>
              </w:rPr>
            </w:pPr>
            <w:r w:rsidRPr="002901C0">
              <w:rPr>
                <w:rFonts w:eastAsia="Times New Roman" w:cs="Times New Roman"/>
                <w:b/>
                <w:sz w:val="20"/>
                <w:szCs w:val="20"/>
              </w:rPr>
              <w:t>Wymagania graniczne</w:t>
            </w:r>
          </w:p>
        </w:tc>
        <w:tc>
          <w:tcPr>
            <w:tcW w:w="106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E894CF" w14:textId="77777777" w:rsidR="003F012A" w:rsidRPr="002901C0" w:rsidRDefault="003F012A" w:rsidP="00183676">
            <w:pPr>
              <w:spacing w:after="0" w:line="256" w:lineRule="auto"/>
              <w:jc w:val="center"/>
              <w:rPr>
                <w:rFonts w:eastAsia="Times New Roman" w:cs="Times New Roman"/>
                <w:b/>
                <w:sz w:val="20"/>
                <w:szCs w:val="20"/>
              </w:rPr>
            </w:pPr>
            <w:r w:rsidRPr="002901C0">
              <w:rPr>
                <w:rFonts w:eastAsia="Times New Roman" w:cs="Times New Roman"/>
                <w:b/>
                <w:sz w:val="20"/>
                <w:szCs w:val="20"/>
              </w:rPr>
              <w:t>Parametr oferowany</w:t>
            </w:r>
          </w:p>
        </w:tc>
      </w:tr>
      <w:tr w:rsidR="003F012A" w:rsidRPr="002901C0" w14:paraId="1D0059C6" w14:textId="77777777" w:rsidTr="00F00484">
        <w:trPr>
          <w:trHeight w:val="144"/>
        </w:trPr>
        <w:tc>
          <w:tcPr>
            <w:tcW w:w="271" w:type="pct"/>
            <w:tcBorders>
              <w:top w:val="single" w:sz="4" w:space="0" w:color="auto"/>
              <w:left w:val="single" w:sz="4" w:space="0" w:color="auto"/>
              <w:bottom w:val="single" w:sz="4" w:space="0" w:color="auto"/>
              <w:right w:val="single" w:sz="4" w:space="0" w:color="auto"/>
            </w:tcBorders>
            <w:hideMark/>
          </w:tcPr>
          <w:p w14:paraId="2E9F3B9F" w14:textId="7D1F94A7" w:rsidR="003F012A" w:rsidRPr="002901C0" w:rsidRDefault="00F00484" w:rsidP="00183676">
            <w:pPr>
              <w:spacing w:after="0" w:line="256" w:lineRule="auto"/>
              <w:rPr>
                <w:rFonts w:eastAsia="Times New Roman" w:cs="Times New Roman"/>
                <w:sz w:val="20"/>
                <w:szCs w:val="20"/>
              </w:rPr>
            </w:pPr>
            <w:r>
              <w:rPr>
                <w:rFonts w:eastAsia="Times New Roman" w:cs="Times New Roman"/>
                <w:sz w:val="20"/>
                <w:szCs w:val="20"/>
              </w:rPr>
              <w:t>1</w:t>
            </w:r>
          </w:p>
        </w:tc>
        <w:tc>
          <w:tcPr>
            <w:tcW w:w="2961" w:type="pct"/>
            <w:tcBorders>
              <w:top w:val="single" w:sz="4" w:space="0" w:color="auto"/>
              <w:left w:val="single" w:sz="4" w:space="0" w:color="auto"/>
              <w:bottom w:val="single" w:sz="4" w:space="0" w:color="auto"/>
              <w:right w:val="single" w:sz="4" w:space="0" w:color="auto"/>
            </w:tcBorders>
            <w:hideMark/>
          </w:tcPr>
          <w:p w14:paraId="2DBF0932" w14:textId="40AA8662" w:rsidR="003F012A" w:rsidRPr="002901C0" w:rsidRDefault="003F012A" w:rsidP="00183676">
            <w:pPr>
              <w:spacing w:after="0" w:line="256" w:lineRule="auto"/>
              <w:jc w:val="both"/>
              <w:rPr>
                <w:rFonts w:eastAsia="Times New Roman" w:cs="Times New Roman"/>
                <w:sz w:val="20"/>
                <w:szCs w:val="20"/>
              </w:rPr>
            </w:pPr>
            <w:r w:rsidRPr="002901C0">
              <w:rPr>
                <w:rFonts w:eastAsia="Times New Roman" w:cs="Times New Roman"/>
                <w:sz w:val="20"/>
                <w:szCs w:val="20"/>
              </w:rPr>
              <w:t xml:space="preserve">Czytnik kodów kreskowych 2D – </w:t>
            </w:r>
            <w:r w:rsidR="0037587A">
              <w:rPr>
                <w:rFonts w:eastAsia="Times New Roman" w:cs="Times New Roman"/>
                <w:sz w:val="20"/>
                <w:szCs w:val="20"/>
              </w:rPr>
              <w:t>21</w:t>
            </w:r>
            <w:r w:rsidRPr="002901C0">
              <w:rPr>
                <w:rFonts w:eastAsia="Times New Roman" w:cs="Times New Roman"/>
                <w:sz w:val="20"/>
                <w:szCs w:val="20"/>
              </w:rPr>
              <w:t xml:space="preserve"> szt.:</w:t>
            </w:r>
          </w:p>
          <w:p w14:paraId="14D0931E" w14:textId="77777777" w:rsidR="003F012A" w:rsidRPr="002901C0" w:rsidRDefault="003F012A" w:rsidP="00183676">
            <w:pPr>
              <w:spacing w:after="0" w:line="256" w:lineRule="auto"/>
              <w:jc w:val="both"/>
              <w:rPr>
                <w:rFonts w:eastAsia="Times New Roman" w:cs="Times New Roman"/>
                <w:sz w:val="20"/>
                <w:szCs w:val="20"/>
              </w:rPr>
            </w:pPr>
          </w:p>
          <w:p w14:paraId="20A8921C" w14:textId="77777777" w:rsidR="003F012A" w:rsidRPr="002901C0" w:rsidRDefault="003F012A" w:rsidP="003F012A">
            <w:pPr>
              <w:numPr>
                <w:ilvl w:val="0"/>
                <w:numId w:val="3"/>
              </w:numPr>
              <w:spacing w:after="0" w:line="240" w:lineRule="auto"/>
              <w:ind w:left="357" w:hanging="357"/>
              <w:contextualSpacing/>
              <w:jc w:val="both"/>
              <w:rPr>
                <w:rFonts w:eastAsia="Times New Roman" w:cs="Times New Roman"/>
                <w:sz w:val="20"/>
                <w:szCs w:val="20"/>
              </w:rPr>
            </w:pPr>
            <w:r w:rsidRPr="002901C0">
              <w:rPr>
                <w:rFonts w:eastAsia="Times New Roman" w:cs="Times New Roman"/>
                <w:sz w:val="20"/>
                <w:szCs w:val="20"/>
              </w:rPr>
              <w:t>Podłączany do komputerów interfejsem USB.</w:t>
            </w:r>
          </w:p>
          <w:p w14:paraId="7DF9F617" w14:textId="77777777" w:rsidR="003F012A" w:rsidRPr="002901C0" w:rsidRDefault="003F012A" w:rsidP="003F012A">
            <w:pPr>
              <w:numPr>
                <w:ilvl w:val="0"/>
                <w:numId w:val="3"/>
              </w:numPr>
              <w:spacing w:after="0" w:line="240" w:lineRule="auto"/>
              <w:ind w:left="357" w:hanging="357"/>
              <w:contextualSpacing/>
              <w:jc w:val="both"/>
              <w:rPr>
                <w:rFonts w:eastAsia="Times New Roman" w:cs="Times New Roman"/>
                <w:sz w:val="20"/>
                <w:szCs w:val="20"/>
              </w:rPr>
            </w:pPr>
            <w:r w:rsidRPr="002901C0">
              <w:rPr>
                <w:rFonts w:eastAsia="Times New Roman" w:cs="Times New Roman"/>
                <w:sz w:val="20"/>
                <w:szCs w:val="20"/>
              </w:rPr>
              <w:t>Zaprogramowane do pracy z oferowanym systemem.</w:t>
            </w:r>
          </w:p>
          <w:p w14:paraId="7962B9DA" w14:textId="77777777" w:rsidR="003F012A" w:rsidRPr="002901C0" w:rsidRDefault="003F012A" w:rsidP="003F012A">
            <w:pPr>
              <w:numPr>
                <w:ilvl w:val="0"/>
                <w:numId w:val="3"/>
              </w:numPr>
              <w:spacing w:after="0" w:line="240" w:lineRule="auto"/>
              <w:ind w:left="357" w:hanging="357"/>
              <w:contextualSpacing/>
              <w:jc w:val="both"/>
              <w:rPr>
                <w:rFonts w:eastAsia="Times New Roman" w:cs="Times New Roman"/>
                <w:sz w:val="20"/>
                <w:szCs w:val="20"/>
              </w:rPr>
            </w:pPr>
            <w:r w:rsidRPr="002901C0">
              <w:rPr>
                <w:rFonts w:eastAsia="Times New Roman" w:cs="Times New Roman"/>
                <w:sz w:val="20"/>
                <w:szCs w:val="20"/>
              </w:rPr>
              <w:t>Z podstawką na biurko.</w:t>
            </w:r>
          </w:p>
          <w:p w14:paraId="5B80D6CE" w14:textId="77777777" w:rsidR="003F012A" w:rsidRPr="002901C0" w:rsidRDefault="003F012A" w:rsidP="003F012A">
            <w:pPr>
              <w:numPr>
                <w:ilvl w:val="0"/>
                <w:numId w:val="3"/>
              </w:numPr>
              <w:spacing w:after="0" w:line="240" w:lineRule="auto"/>
              <w:ind w:left="357" w:hanging="357"/>
              <w:contextualSpacing/>
              <w:jc w:val="both"/>
              <w:rPr>
                <w:rFonts w:eastAsia="Times New Roman" w:cs="Times New Roman"/>
                <w:sz w:val="20"/>
                <w:szCs w:val="20"/>
              </w:rPr>
            </w:pPr>
            <w:r w:rsidRPr="002901C0">
              <w:rPr>
                <w:rFonts w:eastAsia="Times New Roman" w:cs="Times New Roman"/>
                <w:sz w:val="20"/>
                <w:szCs w:val="20"/>
              </w:rPr>
              <w:t>Obsługa wszystkich typów kodów generowanych przez oferowany system.</w:t>
            </w:r>
          </w:p>
          <w:p w14:paraId="78BD8B5A" w14:textId="77777777" w:rsidR="003F012A" w:rsidRPr="002901C0" w:rsidRDefault="003F012A" w:rsidP="003F012A">
            <w:pPr>
              <w:numPr>
                <w:ilvl w:val="0"/>
                <w:numId w:val="3"/>
              </w:numPr>
              <w:spacing w:after="0" w:line="240" w:lineRule="auto"/>
              <w:ind w:left="357" w:hanging="357"/>
              <w:contextualSpacing/>
              <w:jc w:val="both"/>
              <w:rPr>
                <w:rFonts w:eastAsia="Times New Roman" w:cs="Times New Roman"/>
                <w:sz w:val="20"/>
                <w:szCs w:val="20"/>
              </w:rPr>
            </w:pPr>
            <w:r w:rsidRPr="002901C0">
              <w:rPr>
                <w:rFonts w:eastAsia="Times New Roman" w:cs="Times New Roman"/>
                <w:sz w:val="20"/>
                <w:szCs w:val="20"/>
              </w:rPr>
              <w:t>Bezproblemowy odczyt niewielkich kodów kreskowych 2D z obiektów w laboratorium patomorfologicznym (bloczki, preparaty) z małym marginesem (tzw. quiet zone).</w:t>
            </w:r>
          </w:p>
          <w:p w14:paraId="1A97F8D4" w14:textId="77777777" w:rsidR="003F012A" w:rsidRPr="002901C0" w:rsidRDefault="003F012A" w:rsidP="003F012A">
            <w:pPr>
              <w:numPr>
                <w:ilvl w:val="0"/>
                <w:numId w:val="3"/>
              </w:numPr>
              <w:spacing w:after="0" w:line="240" w:lineRule="auto"/>
              <w:ind w:left="357" w:hanging="357"/>
              <w:contextualSpacing/>
              <w:jc w:val="both"/>
              <w:rPr>
                <w:rFonts w:eastAsia="Times New Roman" w:cs="Times New Roman"/>
                <w:sz w:val="20"/>
                <w:szCs w:val="20"/>
              </w:rPr>
            </w:pPr>
            <w:r w:rsidRPr="002901C0">
              <w:rPr>
                <w:rFonts w:eastAsia="Times New Roman" w:cs="Times New Roman"/>
                <w:sz w:val="20"/>
                <w:szCs w:val="20"/>
              </w:rPr>
              <w:t>Funkcja pracy z „celownikiem” (pick-list) w postaci „kropki” lub „krzyżyka” po zdjęciu czytnika z podstawki i naciśnięciu przycisku; skanowanie całego pola widzenia czytnika po odłożeniu go na podstawkę.</w:t>
            </w:r>
          </w:p>
          <w:p w14:paraId="53319D87" w14:textId="77777777" w:rsidR="003F012A" w:rsidRPr="002901C0" w:rsidRDefault="003F012A" w:rsidP="003F012A">
            <w:pPr>
              <w:numPr>
                <w:ilvl w:val="0"/>
                <w:numId w:val="3"/>
              </w:numPr>
              <w:spacing w:after="0" w:line="240" w:lineRule="auto"/>
              <w:ind w:left="357" w:hanging="357"/>
              <w:contextualSpacing/>
              <w:jc w:val="both"/>
              <w:rPr>
                <w:rFonts w:eastAsia="Times New Roman" w:cs="Times New Roman"/>
                <w:sz w:val="20"/>
                <w:szCs w:val="20"/>
              </w:rPr>
            </w:pPr>
            <w:r w:rsidRPr="002901C0">
              <w:rPr>
                <w:rFonts w:eastAsia="Times New Roman" w:cs="Times New Roman"/>
                <w:sz w:val="20"/>
                <w:szCs w:val="20"/>
              </w:rPr>
              <w:t>Programowana głośność sygnalizacji odczytu poprawnego kodu.</w:t>
            </w:r>
          </w:p>
          <w:p w14:paraId="31752CF2" w14:textId="77777777" w:rsidR="003F012A" w:rsidRPr="002901C0" w:rsidRDefault="003F012A" w:rsidP="003F012A">
            <w:pPr>
              <w:numPr>
                <w:ilvl w:val="0"/>
                <w:numId w:val="3"/>
              </w:numPr>
              <w:spacing w:after="0" w:line="240" w:lineRule="auto"/>
              <w:ind w:left="357" w:hanging="357"/>
              <w:contextualSpacing/>
              <w:jc w:val="both"/>
              <w:rPr>
                <w:rFonts w:eastAsia="Times New Roman" w:cs="Times New Roman"/>
                <w:sz w:val="20"/>
                <w:szCs w:val="20"/>
              </w:rPr>
            </w:pPr>
            <w:r w:rsidRPr="002901C0">
              <w:rPr>
                <w:rFonts w:eastAsia="Times New Roman" w:cs="Times New Roman"/>
                <w:sz w:val="20"/>
                <w:szCs w:val="20"/>
              </w:rPr>
              <w:t>Gwarancja min 24 m-ce.</w:t>
            </w:r>
          </w:p>
        </w:tc>
        <w:tc>
          <w:tcPr>
            <w:tcW w:w="706" w:type="pct"/>
            <w:tcBorders>
              <w:top w:val="single" w:sz="4" w:space="0" w:color="auto"/>
              <w:left w:val="single" w:sz="4" w:space="0" w:color="auto"/>
              <w:bottom w:val="single" w:sz="4" w:space="0" w:color="auto"/>
              <w:right w:val="single" w:sz="4" w:space="0" w:color="auto"/>
            </w:tcBorders>
            <w:vAlign w:val="center"/>
            <w:hideMark/>
          </w:tcPr>
          <w:p w14:paraId="7749FEC7" w14:textId="77777777" w:rsidR="003F012A" w:rsidRPr="002901C0" w:rsidRDefault="003F012A" w:rsidP="00183676">
            <w:pPr>
              <w:spacing w:after="0" w:line="256" w:lineRule="auto"/>
              <w:jc w:val="center"/>
              <w:rPr>
                <w:rFonts w:eastAsia="Times New Roman" w:cs="Times New Roman"/>
                <w:sz w:val="20"/>
                <w:szCs w:val="20"/>
              </w:rPr>
            </w:pPr>
            <w:r w:rsidRPr="002901C0">
              <w:rPr>
                <w:rFonts w:eastAsia="Times New Roman" w:cs="Times New Roman"/>
                <w:sz w:val="20"/>
                <w:szCs w:val="20"/>
              </w:rPr>
              <w:t xml:space="preserve">tak – oraz podać model i producenta </w:t>
            </w:r>
          </w:p>
        </w:tc>
        <w:tc>
          <w:tcPr>
            <w:tcW w:w="1062" w:type="pct"/>
            <w:tcBorders>
              <w:top w:val="single" w:sz="4" w:space="0" w:color="auto"/>
              <w:left w:val="single" w:sz="4" w:space="0" w:color="auto"/>
              <w:bottom w:val="single" w:sz="4" w:space="0" w:color="auto"/>
              <w:right w:val="single" w:sz="4" w:space="0" w:color="auto"/>
            </w:tcBorders>
          </w:tcPr>
          <w:p w14:paraId="6CC00157" w14:textId="77777777" w:rsidR="003F012A" w:rsidRPr="002901C0" w:rsidRDefault="003F012A" w:rsidP="00183676">
            <w:pPr>
              <w:spacing w:after="0" w:line="256" w:lineRule="auto"/>
              <w:jc w:val="center"/>
              <w:rPr>
                <w:rFonts w:eastAsia="Times New Roman" w:cs="Times New Roman"/>
                <w:sz w:val="20"/>
                <w:szCs w:val="20"/>
              </w:rPr>
            </w:pPr>
          </w:p>
        </w:tc>
      </w:tr>
      <w:tr w:rsidR="003F012A" w:rsidRPr="002901C0" w14:paraId="3DFA5B9D" w14:textId="77777777" w:rsidTr="00F00484">
        <w:trPr>
          <w:trHeight w:val="144"/>
        </w:trPr>
        <w:tc>
          <w:tcPr>
            <w:tcW w:w="271" w:type="pct"/>
            <w:tcBorders>
              <w:top w:val="single" w:sz="4" w:space="0" w:color="auto"/>
              <w:left w:val="single" w:sz="4" w:space="0" w:color="auto"/>
              <w:bottom w:val="single" w:sz="4" w:space="0" w:color="auto"/>
              <w:right w:val="single" w:sz="4" w:space="0" w:color="auto"/>
            </w:tcBorders>
          </w:tcPr>
          <w:p w14:paraId="3180BB73" w14:textId="13F22137" w:rsidR="003F012A" w:rsidRPr="002901C0" w:rsidRDefault="00F00484" w:rsidP="00183676">
            <w:pPr>
              <w:spacing w:after="0" w:line="256" w:lineRule="auto"/>
              <w:rPr>
                <w:rFonts w:eastAsia="Times New Roman" w:cs="Times New Roman"/>
                <w:sz w:val="20"/>
                <w:szCs w:val="20"/>
              </w:rPr>
            </w:pPr>
            <w:r>
              <w:rPr>
                <w:rFonts w:eastAsia="Times New Roman" w:cs="Times New Roman"/>
                <w:sz w:val="20"/>
                <w:szCs w:val="20"/>
              </w:rPr>
              <w:t>2</w:t>
            </w:r>
          </w:p>
        </w:tc>
        <w:tc>
          <w:tcPr>
            <w:tcW w:w="2961" w:type="pct"/>
            <w:tcBorders>
              <w:top w:val="single" w:sz="4" w:space="0" w:color="auto"/>
              <w:left w:val="single" w:sz="4" w:space="0" w:color="auto"/>
              <w:bottom w:val="single" w:sz="4" w:space="0" w:color="auto"/>
              <w:right w:val="single" w:sz="4" w:space="0" w:color="auto"/>
            </w:tcBorders>
          </w:tcPr>
          <w:p w14:paraId="32A3FF4C" w14:textId="77777777" w:rsidR="003F012A" w:rsidRPr="002901C0" w:rsidRDefault="003F012A" w:rsidP="00183676">
            <w:pPr>
              <w:tabs>
                <w:tab w:val="left" w:pos="565"/>
              </w:tabs>
              <w:snapToGrid w:val="0"/>
              <w:spacing w:after="0" w:line="240" w:lineRule="auto"/>
              <w:rPr>
                <w:rFonts w:cs="Times New Roman"/>
                <w:sz w:val="20"/>
                <w:szCs w:val="20"/>
              </w:rPr>
            </w:pPr>
            <w:r w:rsidRPr="002901C0">
              <w:rPr>
                <w:rFonts w:cs="Times New Roman"/>
                <w:sz w:val="20"/>
                <w:szCs w:val="20"/>
              </w:rPr>
              <w:t xml:space="preserve">Czytnik kodów kreskowych 2D bezprzewodowy </w:t>
            </w:r>
            <w:r w:rsidRPr="00591F67">
              <w:rPr>
                <w:rFonts w:cs="Times New Roman"/>
                <w:sz w:val="20"/>
                <w:szCs w:val="20"/>
              </w:rPr>
              <w:t>– 4 szt</w:t>
            </w:r>
            <w:r w:rsidRPr="002901C0">
              <w:rPr>
                <w:rFonts w:cs="Times New Roman"/>
                <w:sz w:val="20"/>
                <w:szCs w:val="20"/>
              </w:rPr>
              <w:t>.:</w:t>
            </w:r>
          </w:p>
          <w:p w14:paraId="5885DC40" w14:textId="77777777" w:rsidR="003F012A" w:rsidRPr="002901C0" w:rsidRDefault="003F012A" w:rsidP="00183676">
            <w:pPr>
              <w:tabs>
                <w:tab w:val="left" w:pos="565"/>
              </w:tabs>
              <w:snapToGrid w:val="0"/>
              <w:spacing w:after="0" w:line="240" w:lineRule="auto"/>
              <w:rPr>
                <w:rFonts w:cs="Times New Roman"/>
                <w:sz w:val="20"/>
                <w:szCs w:val="20"/>
              </w:rPr>
            </w:pPr>
          </w:p>
          <w:p w14:paraId="225F74B2" w14:textId="77777777" w:rsidR="003F012A" w:rsidRPr="002901C0" w:rsidRDefault="003F012A" w:rsidP="003F012A">
            <w:pPr>
              <w:pStyle w:val="Akapitzlist"/>
              <w:numPr>
                <w:ilvl w:val="0"/>
                <w:numId w:val="5"/>
              </w:numPr>
              <w:suppressAutoHyphens/>
              <w:spacing w:after="0" w:line="240" w:lineRule="auto"/>
              <w:ind w:left="383" w:hanging="383"/>
              <w:contextualSpacing w:val="0"/>
              <w:rPr>
                <w:rFonts w:cs="Times New Roman"/>
                <w:sz w:val="20"/>
                <w:szCs w:val="20"/>
              </w:rPr>
            </w:pPr>
            <w:r w:rsidRPr="002901C0">
              <w:rPr>
                <w:rFonts w:cs="Times New Roman"/>
                <w:sz w:val="20"/>
                <w:szCs w:val="20"/>
              </w:rPr>
              <w:t>Zaprogramowane do pracy z oferowanym systemem (oferent załączy instrukcję konfiguracji czytnika do pracy z oferowanym systemem).</w:t>
            </w:r>
          </w:p>
          <w:p w14:paraId="430C844A" w14:textId="77777777" w:rsidR="003F012A" w:rsidRPr="002901C0" w:rsidRDefault="003F012A" w:rsidP="003F012A">
            <w:pPr>
              <w:pStyle w:val="Akapitzlist"/>
              <w:numPr>
                <w:ilvl w:val="0"/>
                <w:numId w:val="5"/>
              </w:numPr>
              <w:suppressAutoHyphens/>
              <w:spacing w:after="0" w:line="240" w:lineRule="auto"/>
              <w:ind w:left="383" w:hanging="383"/>
              <w:contextualSpacing w:val="0"/>
              <w:rPr>
                <w:rFonts w:cs="Times New Roman"/>
                <w:sz w:val="20"/>
                <w:szCs w:val="20"/>
              </w:rPr>
            </w:pPr>
            <w:r w:rsidRPr="002901C0">
              <w:rPr>
                <w:rFonts w:cs="Times New Roman"/>
                <w:sz w:val="20"/>
                <w:szCs w:val="20"/>
              </w:rPr>
              <w:t>Podłączany do komputerów interfejsem USB. Zasięg pracy bezprzewodowej min. 10 m.</w:t>
            </w:r>
          </w:p>
          <w:p w14:paraId="523BEA7E" w14:textId="77777777" w:rsidR="003F012A" w:rsidRPr="002901C0" w:rsidRDefault="003F012A" w:rsidP="003F012A">
            <w:pPr>
              <w:pStyle w:val="Akapitzlist"/>
              <w:numPr>
                <w:ilvl w:val="0"/>
                <w:numId w:val="5"/>
              </w:numPr>
              <w:suppressAutoHyphens/>
              <w:spacing w:after="0" w:line="240" w:lineRule="auto"/>
              <w:ind w:left="383" w:hanging="383"/>
              <w:contextualSpacing w:val="0"/>
              <w:rPr>
                <w:rFonts w:cs="Times New Roman"/>
                <w:sz w:val="20"/>
                <w:szCs w:val="20"/>
              </w:rPr>
            </w:pPr>
            <w:r w:rsidRPr="002901C0">
              <w:rPr>
                <w:rFonts w:cs="Times New Roman"/>
                <w:sz w:val="20"/>
                <w:szCs w:val="20"/>
              </w:rPr>
              <w:t>Z podstawką ładującą na biurko (urządzenie po odłożeniu do podstawki musi ładować czytnik)</w:t>
            </w:r>
          </w:p>
          <w:p w14:paraId="5F9FB4EB" w14:textId="77777777" w:rsidR="003F012A" w:rsidRPr="002901C0" w:rsidRDefault="003F012A" w:rsidP="003F012A">
            <w:pPr>
              <w:pStyle w:val="Akapitzlist"/>
              <w:numPr>
                <w:ilvl w:val="0"/>
                <w:numId w:val="5"/>
              </w:numPr>
              <w:suppressAutoHyphens/>
              <w:spacing w:after="0" w:line="240" w:lineRule="auto"/>
              <w:ind w:left="383" w:hanging="383"/>
              <w:contextualSpacing w:val="0"/>
              <w:rPr>
                <w:rFonts w:cs="Times New Roman"/>
                <w:sz w:val="20"/>
                <w:szCs w:val="20"/>
              </w:rPr>
            </w:pPr>
            <w:r w:rsidRPr="002901C0">
              <w:rPr>
                <w:rFonts w:cs="Times New Roman"/>
                <w:sz w:val="20"/>
                <w:szCs w:val="20"/>
              </w:rPr>
              <w:t>Obsługa wszystkich typów kodów generowanych przez oferowany system.</w:t>
            </w:r>
          </w:p>
          <w:p w14:paraId="0CEC90B6" w14:textId="77777777" w:rsidR="003F012A" w:rsidRPr="002901C0" w:rsidRDefault="003F012A" w:rsidP="003F012A">
            <w:pPr>
              <w:pStyle w:val="Akapitzlist"/>
              <w:numPr>
                <w:ilvl w:val="0"/>
                <w:numId w:val="5"/>
              </w:numPr>
              <w:suppressAutoHyphens/>
              <w:spacing w:after="0" w:line="240" w:lineRule="auto"/>
              <w:ind w:left="383" w:hanging="383"/>
              <w:contextualSpacing w:val="0"/>
              <w:rPr>
                <w:rFonts w:cs="Times New Roman"/>
                <w:sz w:val="20"/>
                <w:szCs w:val="20"/>
              </w:rPr>
            </w:pPr>
            <w:r w:rsidRPr="002901C0">
              <w:rPr>
                <w:rFonts w:cs="Times New Roman"/>
                <w:sz w:val="20"/>
                <w:szCs w:val="20"/>
              </w:rPr>
              <w:t>Funkcja pracy z „celownikiem” (pick-list) po zdjęciu czytnika z podstawki i naciśnięciu przycisku</w:t>
            </w:r>
          </w:p>
          <w:p w14:paraId="6A785AD3" w14:textId="77777777" w:rsidR="003F012A" w:rsidRPr="002901C0" w:rsidRDefault="003F012A" w:rsidP="003F012A">
            <w:pPr>
              <w:pStyle w:val="Akapitzlist"/>
              <w:numPr>
                <w:ilvl w:val="0"/>
                <w:numId w:val="5"/>
              </w:numPr>
              <w:suppressAutoHyphens/>
              <w:spacing w:after="0" w:line="240" w:lineRule="auto"/>
              <w:ind w:left="383" w:hanging="383"/>
              <w:contextualSpacing w:val="0"/>
              <w:rPr>
                <w:rFonts w:cs="Times New Roman"/>
                <w:sz w:val="20"/>
                <w:szCs w:val="20"/>
              </w:rPr>
            </w:pPr>
            <w:r w:rsidRPr="002901C0">
              <w:rPr>
                <w:rFonts w:cs="Times New Roman"/>
                <w:sz w:val="20"/>
                <w:szCs w:val="20"/>
              </w:rPr>
              <w:t>Programowana głośność i wysokość tonu sygnalizacji odczytu poprawnego kodu kreskowego.</w:t>
            </w:r>
          </w:p>
          <w:p w14:paraId="26414026" w14:textId="77777777" w:rsidR="003F012A" w:rsidRPr="002901C0" w:rsidRDefault="003F012A" w:rsidP="003F012A">
            <w:pPr>
              <w:pStyle w:val="Akapitzlist"/>
              <w:numPr>
                <w:ilvl w:val="0"/>
                <w:numId w:val="5"/>
              </w:numPr>
              <w:suppressAutoHyphens/>
              <w:spacing w:after="0" w:line="240" w:lineRule="auto"/>
              <w:ind w:left="383" w:hanging="383"/>
              <w:contextualSpacing w:val="0"/>
              <w:rPr>
                <w:rFonts w:cs="Times New Roman"/>
                <w:sz w:val="20"/>
                <w:szCs w:val="20"/>
              </w:rPr>
            </w:pPr>
            <w:r w:rsidRPr="002901C0">
              <w:rPr>
                <w:rFonts w:cs="Times New Roman"/>
                <w:sz w:val="20"/>
                <w:szCs w:val="20"/>
              </w:rPr>
              <w:t>Celownik (tzw. „aiming pattern”) w postaci pojedynczej „kropki” lub „krzyżyka”, ułatwiającej celowanie w konkretny obiekt, zwłaszcza w przypadku ich ułożenia blisko siebie (np. w archiwum histopatologicznym). Niedopuszczalny jest celownik wyświetlający pojedynczą linię.</w:t>
            </w:r>
          </w:p>
          <w:p w14:paraId="3046B012" w14:textId="77777777" w:rsidR="003F012A" w:rsidRPr="002901C0" w:rsidRDefault="003F012A" w:rsidP="003F012A">
            <w:pPr>
              <w:pStyle w:val="Akapitzlist"/>
              <w:numPr>
                <w:ilvl w:val="0"/>
                <w:numId w:val="5"/>
              </w:numPr>
              <w:suppressAutoHyphens/>
              <w:spacing w:after="0" w:line="240" w:lineRule="auto"/>
              <w:ind w:left="383" w:hanging="383"/>
              <w:contextualSpacing w:val="0"/>
              <w:rPr>
                <w:rFonts w:cs="Times New Roman"/>
                <w:sz w:val="20"/>
                <w:szCs w:val="20"/>
              </w:rPr>
            </w:pPr>
            <w:r w:rsidRPr="002901C0">
              <w:rPr>
                <w:rFonts w:cs="Times New Roman"/>
                <w:sz w:val="20"/>
                <w:szCs w:val="20"/>
              </w:rPr>
              <w:lastRenderedPageBreak/>
              <w:t>Funkcja pracy ciągłej z czytnika umieszczonego w podstawce na biurku – wykrywanie kodu po podłożeniu pod pole widzenia czytnika</w:t>
            </w:r>
          </w:p>
          <w:p w14:paraId="22DD7A35" w14:textId="77777777" w:rsidR="003F012A" w:rsidRPr="002901C0" w:rsidRDefault="003F012A" w:rsidP="003F012A">
            <w:pPr>
              <w:pStyle w:val="Akapitzlist"/>
              <w:numPr>
                <w:ilvl w:val="0"/>
                <w:numId w:val="5"/>
              </w:numPr>
              <w:suppressAutoHyphens/>
              <w:spacing w:after="0" w:line="240" w:lineRule="auto"/>
              <w:ind w:left="383" w:hanging="383"/>
              <w:contextualSpacing w:val="0"/>
              <w:rPr>
                <w:rFonts w:cs="Times New Roman"/>
                <w:sz w:val="20"/>
                <w:szCs w:val="20"/>
              </w:rPr>
            </w:pPr>
            <w:r w:rsidRPr="002901C0">
              <w:rPr>
                <w:rFonts w:cs="Times New Roman"/>
                <w:sz w:val="20"/>
                <w:szCs w:val="20"/>
              </w:rPr>
              <w:t>Gwarancja min 24 m-ce.</w:t>
            </w:r>
          </w:p>
        </w:tc>
        <w:tc>
          <w:tcPr>
            <w:tcW w:w="706" w:type="pct"/>
            <w:tcBorders>
              <w:top w:val="single" w:sz="4" w:space="0" w:color="auto"/>
              <w:left w:val="single" w:sz="4" w:space="0" w:color="auto"/>
              <w:bottom w:val="single" w:sz="4" w:space="0" w:color="auto"/>
              <w:right w:val="single" w:sz="4" w:space="0" w:color="auto"/>
            </w:tcBorders>
            <w:vAlign w:val="center"/>
          </w:tcPr>
          <w:p w14:paraId="25A60AAA" w14:textId="77777777" w:rsidR="003F012A" w:rsidRPr="002901C0" w:rsidRDefault="003F012A" w:rsidP="00183676">
            <w:pPr>
              <w:spacing w:after="0" w:line="256" w:lineRule="auto"/>
              <w:jc w:val="center"/>
              <w:rPr>
                <w:rFonts w:eastAsia="Times New Roman" w:cs="Times New Roman"/>
                <w:sz w:val="20"/>
                <w:szCs w:val="20"/>
              </w:rPr>
            </w:pPr>
            <w:r w:rsidRPr="002901C0">
              <w:rPr>
                <w:rFonts w:cs="Times New Roman"/>
                <w:sz w:val="20"/>
                <w:szCs w:val="20"/>
              </w:rPr>
              <w:lastRenderedPageBreak/>
              <w:t>tak – podać model, producenta i parametry</w:t>
            </w:r>
          </w:p>
        </w:tc>
        <w:tc>
          <w:tcPr>
            <w:tcW w:w="1062" w:type="pct"/>
            <w:tcBorders>
              <w:top w:val="single" w:sz="4" w:space="0" w:color="auto"/>
              <w:left w:val="single" w:sz="4" w:space="0" w:color="auto"/>
              <w:bottom w:val="single" w:sz="4" w:space="0" w:color="auto"/>
              <w:right w:val="single" w:sz="4" w:space="0" w:color="auto"/>
            </w:tcBorders>
          </w:tcPr>
          <w:p w14:paraId="6DF3D334" w14:textId="77777777" w:rsidR="003F012A" w:rsidRPr="002901C0" w:rsidRDefault="003F012A" w:rsidP="00183676">
            <w:pPr>
              <w:spacing w:after="0" w:line="256" w:lineRule="auto"/>
              <w:jc w:val="center"/>
              <w:rPr>
                <w:rFonts w:eastAsia="Times New Roman" w:cs="Times New Roman"/>
                <w:sz w:val="20"/>
                <w:szCs w:val="20"/>
              </w:rPr>
            </w:pPr>
          </w:p>
        </w:tc>
      </w:tr>
      <w:tr w:rsidR="003F012A" w:rsidRPr="002901C0" w14:paraId="7745E6F3" w14:textId="77777777" w:rsidTr="00F00484">
        <w:trPr>
          <w:trHeight w:val="144"/>
        </w:trPr>
        <w:tc>
          <w:tcPr>
            <w:tcW w:w="271" w:type="pct"/>
            <w:tcBorders>
              <w:top w:val="single" w:sz="4" w:space="0" w:color="auto"/>
              <w:left w:val="single" w:sz="4" w:space="0" w:color="auto"/>
              <w:bottom w:val="single" w:sz="4" w:space="0" w:color="auto"/>
              <w:right w:val="single" w:sz="4" w:space="0" w:color="auto"/>
            </w:tcBorders>
          </w:tcPr>
          <w:p w14:paraId="48997B43" w14:textId="0279BB33" w:rsidR="003F012A" w:rsidRPr="002901C0" w:rsidRDefault="003F012A" w:rsidP="00183676">
            <w:pPr>
              <w:spacing w:after="0" w:line="256" w:lineRule="auto"/>
              <w:rPr>
                <w:rFonts w:eastAsia="Times New Roman" w:cs="Times New Roman"/>
                <w:sz w:val="20"/>
                <w:szCs w:val="20"/>
              </w:rPr>
            </w:pPr>
          </w:p>
        </w:tc>
        <w:tc>
          <w:tcPr>
            <w:tcW w:w="2961" w:type="pct"/>
            <w:tcBorders>
              <w:top w:val="single" w:sz="4" w:space="0" w:color="auto"/>
              <w:left w:val="single" w:sz="4" w:space="0" w:color="auto"/>
              <w:bottom w:val="single" w:sz="4" w:space="0" w:color="auto"/>
              <w:right w:val="single" w:sz="4" w:space="0" w:color="auto"/>
            </w:tcBorders>
          </w:tcPr>
          <w:p w14:paraId="08F79193" w14:textId="640A8413" w:rsidR="003F012A" w:rsidRPr="002901C0" w:rsidRDefault="003F012A" w:rsidP="003F012A">
            <w:pPr>
              <w:numPr>
                <w:ilvl w:val="0"/>
                <w:numId w:val="5"/>
              </w:numPr>
              <w:suppressAutoHyphens/>
              <w:spacing w:after="0" w:line="240" w:lineRule="auto"/>
              <w:ind w:left="383" w:hanging="383"/>
              <w:contextualSpacing/>
              <w:rPr>
                <w:rFonts w:eastAsia="Times New Roman" w:cs="Times New Roman"/>
                <w:sz w:val="20"/>
                <w:szCs w:val="20"/>
              </w:rPr>
            </w:pPr>
          </w:p>
        </w:tc>
        <w:tc>
          <w:tcPr>
            <w:tcW w:w="706" w:type="pct"/>
            <w:tcBorders>
              <w:top w:val="single" w:sz="4" w:space="0" w:color="auto"/>
              <w:left w:val="single" w:sz="4" w:space="0" w:color="auto"/>
              <w:bottom w:val="single" w:sz="4" w:space="0" w:color="auto"/>
              <w:right w:val="single" w:sz="4" w:space="0" w:color="auto"/>
            </w:tcBorders>
            <w:vAlign w:val="center"/>
          </w:tcPr>
          <w:p w14:paraId="1C985D51" w14:textId="21661340" w:rsidR="003F012A" w:rsidRPr="002901C0" w:rsidRDefault="003F012A" w:rsidP="00183676">
            <w:pPr>
              <w:spacing w:after="0" w:line="256" w:lineRule="auto"/>
              <w:jc w:val="center"/>
              <w:rPr>
                <w:rFonts w:eastAsia="Times New Roman" w:cs="Times New Roman"/>
                <w:sz w:val="20"/>
                <w:szCs w:val="20"/>
              </w:rPr>
            </w:pPr>
          </w:p>
        </w:tc>
        <w:tc>
          <w:tcPr>
            <w:tcW w:w="1062" w:type="pct"/>
            <w:tcBorders>
              <w:top w:val="single" w:sz="4" w:space="0" w:color="auto"/>
              <w:left w:val="single" w:sz="4" w:space="0" w:color="auto"/>
              <w:bottom w:val="single" w:sz="4" w:space="0" w:color="auto"/>
              <w:right w:val="single" w:sz="4" w:space="0" w:color="auto"/>
            </w:tcBorders>
          </w:tcPr>
          <w:p w14:paraId="1C40A6A6" w14:textId="77777777" w:rsidR="003F012A" w:rsidRPr="002901C0" w:rsidRDefault="003F012A" w:rsidP="00183676">
            <w:pPr>
              <w:spacing w:after="0" w:line="256" w:lineRule="auto"/>
              <w:jc w:val="center"/>
              <w:rPr>
                <w:rFonts w:eastAsia="Times New Roman" w:cs="Times New Roman"/>
                <w:strike/>
                <w:sz w:val="20"/>
                <w:szCs w:val="20"/>
              </w:rPr>
            </w:pPr>
          </w:p>
        </w:tc>
      </w:tr>
      <w:tr w:rsidR="003F012A" w:rsidRPr="002901C0" w14:paraId="04046D6A" w14:textId="77777777" w:rsidTr="00F00484">
        <w:trPr>
          <w:trHeight w:val="144"/>
        </w:trPr>
        <w:tc>
          <w:tcPr>
            <w:tcW w:w="271" w:type="pct"/>
            <w:tcBorders>
              <w:top w:val="single" w:sz="4" w:space="0" w:color="auto"/>
              <w:left w:val="single" w:sz="4" w:space="0" w:color="auto"/>
              <w:bottom w:val="single" w:sz="4" w:space="0" w:color="auto"/>
              <w:right w:val="single" w:sz="4" w:space="0" w:color="auto"/>
            </w:tcBorders>
            <w:hideMark/>
          </w:tcPr>
          <w:p w14:paraId="4FB9DE67" w14:textId="1BD2C3D2" w:rsidR="003F012A" w:rsidRPr="002901C0" w:rsidRDefault="00F00484" w:rsidP="00183676">
            <w:pPr>
              <w:spacing w:after="0" w:line="256" w:lineRule="auto"/>
              <w:rPr>
                <w:rFonts w:eastAsia="Times New Roman" w:cs="Times New Roman"/>
                <w:sz w:val="20"/>
                <w:szCs w:val="20"/>
              </w:rPr>
            </w:pPr>
            <w:r>
              <w:rPr>
                <w:rFonts w:eastAsia="Times New Roman" w:cs="Times New Roman"/>
                <w:sz w:val="20"/>
                <w:szCs w:val="20"/>
              </w:rPr>
              <w:t>3</w:t>
            </w:r>
          </w:p>
        </w:tc>
        <w:tc>
          <w:tcPr>
            <w:tcW w:w="2961" w:type="pct"/>
            <w:tcBorders>
              <w:top w:val="single" w:sz="4" w:space="0" w:color="auto"/>
              <w:left w:val="single" w:sz="4" w:space="0" w:color="auto"/>
              <w:bottom w:val="single" w:sz="4" w:space="0" w:color="auto"/>
              <w:right w:val="single" w:sz="4" w:space="0" w:color="auto"/>
            </w:tcBorders>
            <w:hideMark/>
          </w:tcPr>
          <w:p w14:paraId="28960570" w14:textId="77777777" w:rsidR="003F012A" w:rsidRPr="002901C0" w:rsidRDefault="003F012A" w:rsidP="00183676">
            <w:pPr>
              <w:spacing w:after="0" w:line="240" w:lineRule="auto"/>
              <w:jc w:val="both"/>
              <w:rPr>
                <w:rFonts w:eastAsia="Times New Roman" w:cs="Times New Roman"/>
                <w:sz w:val="20"/>
                <w:szCs w:val="20"/>
              </w:rPr>
            </w:pPr>
            <w:r w:rsidRPr="002901C0">
              <w:rPr>
                <w:rFonts w:eastAsia="Times New Roman" w:cs="Times New Roman"/>
                <w:sz w:val="20"/>
                <w:szCs w:val="20"/>
              </w:rPr>
              <w:t xml:space="preserve">Drukarka kodów kreskowych </w:t>
            </w:r>
            <w:r w:rsidRPr="00591F67">
              <w:rPr>
                <w:rFonts w:eastAsia="Times New Roman" w:cs="Times New Roman"/>
                <w:sz w:val="20"/>
                <w:szCs w:val="20"/>
              </w:rPr>
              <w:t>– 15 szt.</w:t>
            </w:r>
          </w:p>
          <w:p w14:paraId="1E5B625F" w14:textId="77777777" w:rsidR="003F012A" w:rsidRPr="002901C0" w:rsidRDefault="003F012A" w:rsidP="00183676">
            <w:pPr>
              <w:spacing w:after="0" w:line="240" w:lineRule="auto"/>
              <w:jc w:val="both"/>
              <w:rPr>
                <w:rFonts w:eastAsia="Times New Roman" w:cs="Times New Roman"/>
                <w:sz w:val="20"/>
                <w:szCs w:val="20"/>
              </w:rPr>
            </w:pPr>
          </w:p>
          <w:p w14:paraId="32D99155" w14:textId="77777777" w:rsidR="003F012A" w:rsidRPr="002901C0" w:rsidRDefault="003F012A" w:rsidP="003F012A">
            <w:pPr>
              <w:numPr>
                <w:ilvl w:val="0"/>
                <w:numId w:val="6"/>
              </w:numPr>
              <w:spacing w:after="0" w:line="240" w:lineRule="auto"/>
              <w:jc w:val="both"/>
              <w:rPr>
                <w:rFonts w:eastAsia="Times New Roman" w:cs="Times New Roman"/>
                <w:sz w:val="20"/>
                <w:szCs w:val="20"/>
              </w:rPr>
            </w:pPr>
            <w:r w:rsidRPr="002901C0">
              <w:rPr>
                <w:rFonts w:eastAsia="Times New Roman" w:cs="Times New Roman"/>
                <w:sz w:val="20"/>
                <w:szCs w:val="20"/>
              </w:rPr>
              <w:t>Interfejsy: USB i Ethernet.</w:t>
            </w:r>
          </w:p>
          <w:p w14:paraId="5FA933E8" w14:textId="77777777" w:rsidR="003F012A" w:rsidRPr="002901C0" w:rsidRDefault="003F012A" w:rsidP="003F012A">
            <w:pPr>
              <w:numPr>
                <w:ilvl w:val="0"/>
                <w:numId w:val="6"/>
              </w:numPr>
              <w:spacing w:after="0" w:line="240" w:lineRule="auto"/>
              <w:jc w:val="both"/>
              <w:rPr>
                <w:rFonts w:eastAsia="Times New Roman" w:cs="Times New Roman"/>
                <w:sz w:val="20"/>
                <w:szCs w:val="20"/>
              </w:rPr>
            </w:pPr>
            <w:r w:rsidRPr="002901C0">
              <w:rPr>
                <w:rFonts w:eastAsia="Times New Roman" w:cs="Times New Roman"/>
                <w:sz w:val="20"/>
                <w:szCs w:val="20"/>
              </w:rPr>
              <w:t>Szerokość zadruku min. 56 mm.</w:t>
            </w:r>
          </w:p>
          <w:p w14:paraId="793936CD" w14:textId="77777777" w:rsidR="003F012A" w:rsidRPr="002901C0" w:rsidRDefault="003F012A" w:rsidP="003F012A">
            <w:pPr>
              <w:numPr>
                <w:ilvl w:val="0"/>
                <w:numId w:val="6"/>
              </w:numPr>
              <w:spacing w:after="0" w:line="240" w:lineRule="auto"/>
              <w:jc w:val="both"/>
              <w:rPr>
                <w:rFonts w:eastAsia="Times New Roman" w:cs="Times New Roman"/>
                <w:sz w:val="20"/>
                <w:szCs w:val="20"/>
              </w:rPr>
            </w:pPr>
            <w:r w:rsidRPr="002901C0">
              <w:rPr>
                <w:rFonts w:eastAsia="Times New Roman" w:cs="Times New Roman"/>
                <w:sz w:val="20"/>
                <w:szCs w:val="20"/>
              </w:rPr>
              <w:t>Rozdzielczość wydruku min. 300 dpi.</w:t>
            </w:r>
          </w:p>
          <w:p w14:paraId="22F8496A" w14:textId="77777777" w:rsidR="003F012A" w:rsidRPr="002901C0" w:rsidRDefault="003F012A" w:rsidP="003F012A">
            <w:pPr>
              <w:numPr>
                <w:ilvl w:val="0"/>
                <w:numId w:val="6"/>
              </w:numPr>
              <w:spacing w:after="0" w:line="240" w:lineRule="auto"/>
              <w:jc w:val="both"/>
              <w:rPr>
                <w:rFonts w:eastAsia="Times New Roman" w:cs="Times New Roman"/>
                <w:sz w:val="20"/>
                <w:szCs w:val="20"/>
              </w:rPr>
            </w:pPr>
            <w:r w:rsidRPr="002901C0">
              <w:rPr>
                <w:rFonts w:eastAsia="Times New Roman" w:cs="Times New Roman"/>
                <w:sz w:val="20"/>
                <w:szCs w:val="20"/>
              </w:rPr>
              <w:t>Wymiary maksymalne: 145 x 250 x 180 mm (szer. x gł. x wys.).</w:t>
            </w:r>
          </w:p>
          <w:p w14:paraId="2A253369" w14:textId="77777777" w:rsidR="003F012A" w:rsidRPr="002901C0" w:rsidRDefault="003F012A" w:rsidP="003F012A">
            <w:pPr>
              <w:numPr>
                <w:ilvl w:val="0"/>
                <w:numId w:val="6"/>
              </w:numPr>
              <w:spacing w:after="0" w:line="240" w:lineRule="auto"/>
              <w:jc w:val="both"/>
              <w:rPr>
                <w:rFonts w:eastAsia="Times New Roman" w:cs="Times New Roman"/>
                <w:sz w:val="20"/>
                <w:szCs w:val="20"/>
              </w:rPr>
            </w:pPr>
            <w:r w:rsidRPr="002901C0">
              <w:rPr>
                <w:rFonts w:eastAsia="Times New Roman" w:cs="Times New Roman"/>
                <w:sz w:val="20"/>
                <w:szCs w:val="20"/>
              </w:rPr>
              <w:t>Waga maksymalnie 2kg (netto).</w:t>
            </w:r>
          </w:p>
          <w:p w14:paraId="70321D0E" w14:textId="77777777" w:rsidR="003F012A" w:rsidRPr="002901C0" w:rsidRDefault="003F012A" w:rsidP="003F012A">
            <w:pPr>
              <w:numPr>
                <w:ilvl w:val="0"/>
                <w:numId w:val="6"/>
              </w:numPr>
              <w:spacing w:after="0" w:line="240" w:lineRule="auto"/>
              <w:jc w:val="both"/>
              <w:rPr>
                <w:rFonts w:eastAsia="Times New Roman" w:cs="Times New Roman"/>
                <w:sz w:val="20"/>
                <w:szCs w:val="20"/>
              </w:rPr>
            </w:pPr>
            <w:r w:rsidRPr="002901C0">
              <w:rPr>
                <w:rFonts w:eastAsia="Times New Roman" w:cs="Times New Roman"/>
                <w:sz w:val="20"/>
                <w:szCs w:val="20"/>
              </w:rPr>
              <w:t>Rodzaj druku: termotransfer i termiczny.</w:t>
            </w:r>
          </w:p>
          <w:p w14:paraId="4D91A117" w14:textId="77777777" w:rsidR="003F012A" w:rsidRPr="002901C0" w:rsidRDefault="003F012A" w:rsidP="003F012A">
            <w:pPr>
              <w:numPr>
                <w:ilvl w:val="0"/>
                <w:numId w:val="6"/>
              </w:numPr>
              <w:spacing w:after="0" w:line="240" w:lineRule="auto"/>
              <w:jc w:val="both"/>
              <w:rPr>
                <w:rFonts w:eastAsia="Times New Roman" w:cs="Times New Roman"/>
                <w:sz w:val="20"/>
                <w:szCs w:val="20"/>
              </w:rPr>
            </w:pPr>
            <w:r w:rsidRPr="002901C0">
              <w:rPr>
                <w:rFonts w:eastAsia="Times New Roman" w:cs="Times New Roman"/>
                <w:sz w:val="20"/>
                <w:szCs w:val="20"/>
              </w:rPr>
              <w:t>Kalibracja nośnika przy użyciu jednego przycisku na obudowie urządzenia.</w:t>
            </w:r>
          </w:p>
          <w:p w14:paraId="66DDC4B2" w14:textId="77777777" w:rsidR="003F012A" w:rsidRPr="002901C0" w:rsidRDefault="003F012A" w:rsidP="003F012A">
            <w:pPr>
              <w:numPr>
                <w:ilvl w:val="0"/>
                <w:numId w:val="6"/>
              </w:numPr>
              <w:suppressAutoHyphens/>
              <w:spacing w:after="0" w:line="240" w:lineRule="auto"/>
              <w:contextualSpacing/>
              <w:rPr>
                <w:rFonts w:eastAsia="Times New Roman" w:cs="Times New Roman"/>
                <w:sz w:val="20"/>
                <w:szCs w:val="20"/>
              </w:rPr>
            </w:pPr>
            <w:r w:rsidRPr="002901C0">
              <w:rPr>
                <w:rFonts w:eastAsia="Times New Roman" w:cs="Times New Roman"/>
                <w:sz w:val="20"/>
                <w:szCs w:val="20"/>
              </w:rPr>
              <w:t>Gwarancja min 24 m-ce.</w:t>
            </w:r>
          </w:p>
        </w:tc>
        <w:tc>
          <w:tcPr>
            <w:tcW w:w="706" w:type="pct"/>
            <w:tcBorders>
              <w:top w:val="single" w:sz="4" w:space="0" w:color="auto"/>
              <w:left w:val="single" w:sz="4" w:space="0" w:color="auto"/>
              <w:bottom w:val="single" w:sz="4" w:space="0" w:color="auto"/>
              <w:right w:val="single" w:sz="4" w:space="0" w:color="auto"/>
            </w:tcBorders>
            <w:vAlign w:val="center"/>
            <w:hideMark/>
          </w:tcPr>
          <w:p w14:paraId="64CFDC98" w14:textId="77777777" w:rsidR="003F012A" w:rsidRPr="002901C0" w:rsidRDefault="003F012A" w:rsidP="00183676">
            <w:pPr>
              <w:spacing w:after="0" w:line="256" w:lineRule="auto"/>
              <w:jc w:val="center"/>
              <w:rPr>
                <w:rFonts w:eastAsia="Times New Roman" w:cs="Times New Roman"/>
                <w:sz w:val="20"/>
                <w:szCs w:val="20"/>
              </w:rPr>
            </w:pPr>
            <w:r w:rsidRPr="002901C0">
              <w:rPr>
                <w:rFonts w:eastAsia="Times New Roman" w:cs="Times New Roman"/>
                <w:sz w:val="20"/>
                <w:szCs w:val="20"/>
              </w:rPr>
              <w:t>tak – podać model, producenta i parametry</w:t>
            </w:r>
          </w:p>
        </w:tc>
        <w:tc>
          <w:tcPr>
            <w:tcW w:w="1062" w:type="pct"/>
            <w:tcBorders>
              <w:top w:val="single" w:sz="4" w:space="0" w:color="auto"/>
              <w:left w:val="single" w:sz="4" w:space="0" w:color="auto"/>
              <w:bottom w:val="single" w:sz="4" w:space="0" w:color="auto"/>
              <w:right w:val="single" w:sz="4" w:space="0" w:color="auto"/>
            </w:tcBorders>
          </w:tcPr>
          <w:p w14:paraId="154E9DB2" w14:textId="77777777" w:rsidR="003F012A" w:rsidRPr="002901C0" w:rsidRDefault="003F012A" w:rsidP="00183676">
            <w:pPr>
              <w:spacing w:after="0" w:line="256" w:lineRule="auto"/>
              <w:jc w:val="center"/>
              <w:rPr>
                <w:rFonts w:eastAsia="Times New Roman" w:cs="Times New Roman"/>
                <w:strike/>
                <w:sz w:val="20"/>
                <w:szCs w:val="20"/>
              </w:rPr>
            </w:pPr>
          </w:p>
        </w:tc>
      </w:tr>
      <w:tr w:rsidR="003F012A" w:rsidRPr="002901C0" w14:paraId="00420357" w14:textId="77777777" w:rsidTr="00F00484">
        <w:trPr>
          <w:trHeight w:val="144"/>
        </w:trPr>
        <w:tc>
          <w:tcPr>
            <w:tcW w:w="271" w:type="pct"/>
            <w:tcBorders>
              <w:top w:val="single" w:sz="4" w:space="0" w:color="auto"/>
              <w:left w:val="single" w:sz="4" w:space="0" w:color="auto"/>
              <w:bottom w:val="single" w:sz="4" w:space="0" w:color="auto"/>
              <w:right w:val="single" w:sz="4" w:space="0" w:color="auto"/>
            </w:tcBorders>
            <w:hideMark/>
          </w:tcPr>
          <w:p w14:paraId="38E63461" w14:textId="78DBC16E" w:rsidR="003F012A" w:rsidRPr="002901C0" w:rsidRDefault="00F00484" w:rsidP="00183676">
            <w:pPr>
              <w:spacing w:after="0" w:line="256" w:lineRule="auto"/>
              <w:rPr>
                <w:rFonts w:eastAsia="Times New Roman" w:cs="Times New Roman"/>
                <w:sz w:val="20"/>
                <w:szCs w:val="20"/>
              </w:rPr>
            </w:pPr>
            <w:r>
              <w:rPr>
                <w:rFonts w:eastAsia="Times New Roman" w:cs="Times New Roman"/>
                <w:sz w:val="20"/>
                <w:szCs w:val="20"/>
              </w:rPr>
              <w:t>4</w:t>
            </w:r>
          </w:p>
        </w:tc>
        <w:tc>
          <w:tcPr>
            <w:tcW w:w="2961" w:type="pct"/>
            <w:tcBorders>
              <w:top w:val="single" w:sz="4" w:space="0" w:color="auto"/>
              <w:left w:val="single" w:sz="4" w:space="0" w:color="auto"/>
              <w:bottom w:val="single" w:sz="4" w:space="0" w:color="auto"/>
              <w:right w:val="single" w:sz="4" w:space="0" w:color="auto"/>
            </w:tcBorders>
            <w:hideMark/>
          </w:tcPr>
          <w:p w14:paraId="727441E8" w14:textId="77777777" w:rsidR="003F012A" w:rsidRPr="002901C0" w:rsidRDefault="003F012A" w:rsidP="00183676">
            <w:pPr>
              <w:spacing w:after="0" w:line="256" w:lineRule="auto"/>
              <w:jc w:val="both"/>
              <w:rPr>
                <w:rFonts w:eastAsia="Times New Roman" w:cs="Times New Roman"/>
                <w:sz w:val="20"/>
                <w:szCs w:val="20"/>
              </w:rPr>
            </w:pPr>
            <w:r w:rsidRPr="002901C0">
              <w:rPr>
                <w:rFonts w:eastAsia="Times New Roman" w:cs="Times New Roman"/>
                <w:sz w:val="20"/>
                <w:szCs w:val="20"/>
              </w:rPr>
              <w:t>pH-</w:t>
            </w:r>
            <w:r w:rsidRPr="00591F67">
              <w:rPr>
                <w:rFonts w:eastAsia="Times New Roman" w:cs="Times New Roman"/>
                <w:sz w:val="20"/>
                <w:szCs w:val="20"/>
              </w:rPr>
              <w:t>metr – 1 szt.</w:t>
            </w:r>
          </w:p>
          <w:p w14:paraId="711144DC" w14:textId="77777777" w:rsidR="003F012A" w:rsidRPr="002901C0" w:rsidRDefault="003F012A" w:rsidP="00183676">
            <w:pPr>
              <w:spacing w:after="0" w:line="256" w:lineRule="auto"/>
              <w:jc w:val="both"/>
              <w:rPr>
                <w:rFonts w:eastAsia="Times New Roman" w:cs="Times New Roman"/>
                <w:sz w:val="20"/>
                <w:szCs w:val="20"/>
              </w:rPr>
            </w:pPr>
          </w:p>
          <w:p w14:paraId="3E8B9532" w14:textId="77777777" w:rsidR="003F012A" w:rsidRPr="002901C0" w:rsidRDefault="003F012A" w:rsidP="003F012A">
            <w:pPr>
              <w:numPr>
                <w:ilvl w:val="0"/>
                <w:numId w:val="4"/>
              </w:numPr>
              <w:spacing w:after="0" w:line="256" w:lineRule="auto"/>
              <w:jc w:val="both"/>
              <w:rPr>
                <w:rFonts w:eastAsia="Times New Roman" w:cs="Times New Roman"/>
                <w:sz w:val="20"/>
                <w:szCs w:val="20"/>
              </w:rPr>
            </w:pPr>
            <w:r w:rsidRPr="002901C0">
              <w:rPr>
                <w:rFonts w:eastAsia="Times New Roman" w:cs="Times New Roman"/>
                <w:sz w:val="20"/>
                <w:szCs w:val="20"/>
              </w:rPr>
              <w:t>Zakres pomiarowy pH -2 – 16.</w:t>
            </w:r>
          </w:p>
          <w:p w14:paraId="0BE780F3" w14:textId="77777777" w:rsidR="003F012A" w:rsidRPr="002901C0" w:rsidRDefault="003F012A" w:rsidP="003F012A">
            <w:pPr>
              <w:numPr>
                <w:ilvl w:val="0"/>
                <w:numId w:val="4"/>
              </w:numPr>
              <w:spacing w:after="0" w:line="256" w:lineRule="auto"/>
              <w:jc w:val="both"/>
              <w:rPr>
                <w:rFonts w:eastAsia="Times New Roman" w:cs="Times New Roman"/>
                <w:sz w:val="20"/>
                <w:szCs w:val="20"/>
              </w:rPr>
            </w:pPr>
            <w:r w:rsidRPr="002901C0">
              <w:rPr>
                <w:rFonts w:eastAsia="Times New Roman" w:cs="Times New Roman"/>
                <w:sz w:val="20"/>
                <w:szCs w:val="20"/>
              </w:rPr>
              <w:t>Precyzja pH (±) 0,01.</w:t>
            </w:r>
          </w:p>
          <w:p w14:paraId="4B4A9F54" w14:textId="77777777" w:rsidR="003F012A" w:rsidRPr="002901C0" w:rsidRDefault="003F012A" w:rsidP="003F012A">
            <w:pPr>
              <w:numPr>
                <w:ilvl w:val="0"/>
                <w:numId w:val="4"/>
              </w:numPr>
              <w:spacing w:after="0" w:line="256" w:lineRule="auto"/>
              <w:jc w:val="both"/>
              <w:rPr>
                <w:rFonts w:eastAsia="Times New Roman" w:cs="Times New Roman"/>
                <w:sz w:val="20"/>
                <w:szCs w:val="20"/>
              </w:rPr>
            </w:pPr>
            <w:r w:rsidRPr="002901C0">
              <w:rPr>
                <w:rFonts w:eastAsia="Times New Roman" w:cs="Times New Roman"/>
                <w:sz w:val="20"/>
                <w:szCs w:val="20"/>
              </w:rPr>
              <w:t>W zestawie elektroda o zakresie pomiarowym pH min. 0-14.</w:t>
            </w:r>
          </w:p>
          <w:p w14:paraId="08CF2413" w14:textId="77777777" w:rsidR="003F012A" w:rsidRPr="002901C0" w:rsidRDefault="003F012A" w:rsidP="003F012A">
            <w:pPr>
              <w:numPr>
                <w:ilvl w:val="0"/>
                <w:numId w:val="4"/>
              </w:numPr>
              <w:spacing w:after="0" w:line="256" w:lineRule="auto"/>
              <w:jc w:val="both"/>
              <w:rPr>
                <w:rFonts w:eastAsia="Times New Roman" w:cs="Times New Roman"/>
                <w:sz w:val="20"/>
                <w:szCs w:val="20"/>
              </w:rPr>
            </w:pPr>
            <w:r w:rsidRPr="002901C0">
              <w:rPr>
                <w:rFonts w:eastAsia="Times New Roman" w:cs="Times New Roman"/>
                <w:sz w:val="20"/>
                <w:szCs w:val="20"/>
              </w:rPr>
              <w:t>Z elektrolitem do przechowywania elektrody.</w:t>
            </w:r>
          </w:p>
          <w:p w14:paraId="0DA7961E" w14:textId="77777777" w:rsidR="003F012A" w:rsidRPr="002901C0" w:rsidRDefault="003F012A" w:rsidP="003F012A">
            <w:pPr>
              <w:numPr>
                <w:ilvl w:val="0"/>
                <w:numId w:val="4"/>
              </w:numPr>
              <w:spacing w:after="0" w:line="256" w:lineRule="auto"/>
              <w:jc w:val="both"/>
              <w:rPr>
                <w:rFonts w:eastAsia="Times New Roman" w:cs="Times New Roman"/>
                <w:sz w:val="20"/>
                <w:szCs w:val="20"/>
              </w:rPr>
            </w:pPr>
            <w:r w:rsidRPr="002901C0">
              <w:rPr>
                <w:rFonts w:eastAsia="Times New Roman" w:cs="Times New Roman"/>
                <w:sz w:val="20"/>
                <w:szCs w:val="20"/>
              </w:rPr>
              <w:t>Integracja z oferowanym systemem.</w:t>
            </w:r>
          </w:p>
          <w:p w14:paraId="7136ACA0" w14:textId="77777777" w:rsidR="003F012A" w:rsidRPr="002901C0" w:rsidRDefault="003F012A" w:rsidP="003F012A">
            <w:pPr>
              <w:numPr>
                <w:ilvl w:val="0"/>
                <w:numId w:val="4"/>
              </w:numPr>
              <w:spacing w:after="0" w:line="256" w:lineRule="auto"/>
              <w:jc w:val="both"/>
              <w:rPr>
                <w:rFonts w:eastAsia="Times New Roman" w:cs="Times New Roman"/>
                <w:sz w:val="20"/>
                <w:szCs w:val="20"/>
              </w:rPr>
            </w:pPr>
            <w:r w:rsidRPr="002901C0">
              <w:rPr>
                <w:rFonts w:eastAsia="Times New Roman" w:cs="Times New Roman"/>
                <w:sz w:val="20"/>
                <w:szCs w:val="20"/>
              </w:rPr>
              <w:t>Gwarancja min 12 m-cy.</w:t>
            </w:r>
          </w:p>
        </w:tc>
        <w:tc>
          <w:tcPr>
            <w:tcW w:w="706" w:type="pct"/>
            <w:tcBorders>
              <w:top w:val="single" w:sz="4" w:space="0" w:color="auto"/>
              <w:left w:val="single" w:sz="4" w:space="0" w:color="auto"/>
              <w:bottom w:val="single" w:sz="4" w:space="0" w:color="auto"/>
              <w:right w:val="single" w:sz="4" w:space="0" w:color="auto"/>
            </w:tcBorders>
            <w:vAlign w:val="center"/>
            <w:hideMark/>
          </w:tcPr>
          <w:p w14:paraId="59896B03" w14:textId="77777777" w:rsidR="003F012A" w:rsidRPr="002901C0" w:rsidRDefault="003F012A" w:rsidP="00183676">
            <w:pPr>
              <w:spacing w:after="0" w:line="256" w:lineRule="auto"/>
              <w:jc w:val="center"/>
              <w:rPr>
                <w:rFonts w:eastAsia="Times New Roman" w:cs="Times New Roman"/>
                <w:sz w:val="20"/>
                <w:szCs w:val="20"/>
              </w:rPr>
            </w:pPr>
            <w:r w:rsidRPr="002901C0">
              <w:rPr>
                <w:rFonts w:eastAsia="Times New Roman" w:cs="Times New Roman"/>
                <w:sz w:val="20"/>
                <w:szCs w:val="20"/>
              </w:rPr>
              <w:t>tak – podać model, producent</w:t>
            </w:r>
          </w:p>
        </w:tc>
        <w:tc>
          <w:tcPr>
            <w:tcW w:w="1062" w:type="pct"/>
            <w:tcBorders>
              <w:top w:val="single" w:sz="4" w:space="0" w:color="auto"/>
              <w:left w:val="single" w:sz="4" w:space="0" w:color="auto"/>
              <w:bottom w:val="single" w:sz="4" w:space="0" w:color="auto"/>
              <w:right w:val="single" w:sz="4" w:space="0" w:color="auto"/>
            </w:tcBorders>
          </w:tcPr>
          <w:p w14:paraId="07DB39B8" w14:textId="77777777" w:rsidR="003F012A" w:rsidRPr="002901C0" w:rsidRDefault="003F012A" w:rsidP="00183676">
            <w:pPr>
              <w:spacing w:after="0" w:line="256" w:lineRule="auto"/>
              <w:jc w:val="center"/>
              <w:rPr>
                <w:rFonts w:eastAsia="Times New Roman" w:cs="Times New Roman"/>
                <w:strike/>
                <w:sz w:val="20"/>
                <w:szCs w:val="20"/>
              </w:rPr>
            </w:pPr>
          </w:p>
        </w:tc>
      </w:tr>
      <w:tr w:rsidR="003F012A" w:rsidRPr="002901C0" w14:paraId="2EEEB0A2" w14:textId="77777777" w:rsidTr="00F00484">
        <w:trPr>
          <w:trHeight w:val="144"/>
        </w:trPr>
        <w:tc>
          <w:tcPr>
            <w:tcW w:w="271" w:type="pct"/>
            <w:tcBorders>
              <w:top w:val="single" w:sz="4" w:space="0" w:color="auto"/>
              <w:left w:val="single" w:sz="4" w:space="0" w:color="auto"/>
              <w:bottom w:val="single" w:sz="4" w:space="0" w:color="auto"/>
              <w:right w:val="single" w:sz="4" w:space="0" w:color="auto"/>
            </w:tcBorders>
            <w:hideMark/>
          </w:tcPr>
          <w:p w14:paraId="7F86DC9F" w14:textId="545D42DF" w:rsidR="003F012A" w:rsidRPr="002901C0" w:rsidRDefault="00F00484" w:rsidP="00183676">
            <w:pPr>
              <w:spacing w:after="0" w:line="256" w:lineRule="auto"/>
              <w:rPr>
                <w:rFonts w:eastAsia="Times New Roman" w:cs="Times New Roman"/>
                <w:sz w:val="20"/>
                <w:szCs w:val="20"/>
              </w:rPr>
            </w:pPr>
            <w:r>
              <w:rPr>
                <w:rFonts w:eastAsia="Times New Roman" w:cs="Times New Roman"/>
                <w:sz w:val="20"/>
                <w:szCs w:val="20"/>
              </w:rPr>
              <w:t>5</w:t>
            </w:r>
          </w:p>
        </w:tc>
        <w:tc>
          <w:tcPr>
            <w:tcW w:w="2961" w:type="pct"/>
            <w:tcBorders>
              <w:top w:val="single" w:sz="4" w:space="0" w:color="auto"/>
              <w:left w:val="single" w:sz="4" w:space="0" w:color="auto"/>
              <w:bottom w:val="single" w:sz="4" w:space="0" w:color="auto"/>
              <w:right w:val="single" w:sz="4" w:space="0" w:color="auto"/>
            </w:tcBorders>
            <w:hideMark/>
          </w:tcPr>
          <w:p w14:paraId="73CAAC8E" w14:textId="77777777" w:rsidR="003F012A" w:rsidRPr="002901C0" w:rsidRDefault="003F012A" w:rsidP="00183676">
            <w:pPr>
              <w:spacing w:after="0" w:line="256" w:lineRule="auto"/>
              <w:jc w:val="both"/>
              <w:rPr>
                <w:rFonts w:eastAsia="Times New Roman" w:cs="Times New Roman"/>
                <w:sz w:val="20"/>
                <w:szCs w:val="20"/>
              </w:rPr>
            </w:pPr>
            <w:r w:rsidRPr="002901C0">
              <w:rPr>
                <w:rFonts w:eastAsia="Times New Roman" w:cs="Times New Roman"/>
                <w:sz w:val="20"/>
                <w:szCs w:val="20"/>
              </w:rPr>
              <w:t xml:space="preserve">Etykiety nielaminowane na skierowania, materiały, odwapniacze – </w:t>
            </w:r>
            <w:r w:rsidRPr="00591F67">
              <w:rPr>
                <w:rFonts w:eastAsia="Times New Roman" w:cs="Times New Roman"/>
                <w:sz w:val="20"/>
                <w:szCs w:val="20"/>
              </w:rPr>
              <w:t>45000</w:t>
            </w:r>
            <w:r w:rsidRPr="002901C0">
              <w:rPr>
                <w:rFonts w:eastAsia="Times New Roman" w:cs="Times New Roman"/>
                <w:sz w:val="20"/>
                <w:szCs w:val="20"/>
              </w:rPr>
              <w:t xml:space="preserve"> etykiet konfekcjonowanych na rolkach:</w:t>
            </w:r>
          </w:p>
          <w:p w14:paraId="414AC849" w14:textId="77777777" w:rsidR="003F012A" w:rsidRPr="002901C0" w:rsidRDefault="003F012A" w:rsidP="00183676">
            <w:pPr>
              <w:spacing w:after="0" w:line="256" w:lineRule="auto"/>
              <w:jc w:val="both"/>
              <w:rPr>
                <w:rFonts w:eastAsia="Times New Roman" w:cs="Times New Roman"/>
                <w:sz w:val="20"/>
                <w:szCs w:val="20"/>
              </w:rPr>
            </w:pPr>
          </w:p>
          <w:p w14:paraId="6CF2665E" w14:textId="77777777" w:rsidR="003F012A" w:rsidRPr="002901C0" w:rsidRDefault="003F012A" w:rsidP="003F012A">
            <w:pPr>
              <w:numPr>
                <w:ilvl w:val="0"/>
                <w:numId w:val="7"/>
              </w:numPr>
              <w:spacing w:after="0" w:line="256" w:lineRule="auto"/>
              <w:jc w:val="both"/>
              <w:rPr>
                <w:rFonts w:eastAsia="Times New Roman" w:cs="Times New Roman"/>
                <w:sz w:val="20"/>
                <w:szCs w:val="20"/>
              </w:rPr>
            </w:pPr>
            <w:r w:rsidRPr="002901C0">
              <w:rPr>
                <w:rFonts w:eastAsia="Times New Roman" w:cs="Times New Roman"/>
                <w:sz w:val="20"/>
                <w:szCs w:val="20"/>
              </w:rPr>
              <w:t>Wymiary etykiety: 24 x 24 mm, rogi zaokrąglone.</w:t>
            </w:r>
          </w:p>
          <w:p w14:paraId="2A4E19CA" w14:textId="77777777" w:rsidR="003F012A" w:rsidRPr="002901C0" w:rsidRDefault="003F012A" w:rsidP="003F012A">
            <w:pPr>
              <w:numPr>
                <w:ilvl w:val="0"/>
                <w:numId w:val="7"/>
              </w:numPr>
              <w:spacing w:after="0" w:line="256" w:lineRule="auto"/>
              <w:jc w:val="both"/>
              <w:rPr>
                <w:rFonts w:eastAsia="Times New Roman" w:cs="Times New Roman"/>
                <w:sz w:val="20"/>
                <w:szCs w:val="20"/>
              </w:rPr>
            </w:pPr>
            <w:r w:rsidRPr="002901C0">
              <w:rPr>
                <w:rFonts w:eastAsia="Times New Roman" w:cs="Times New Roman"/>
                <w:sz w:val="20"/>
                <w:szCs w:val="20"/>
              </w:rPr>
              <w:t xml:space="preserve">Zastosowanie: do drukarek termotransferowych, kompatybilne z drukarką etykiet z </w:t>
            </w:r>
            <w:r w:rsidRPr="00591F67">
              <w:rPr>
                <w:rFonts w:eastAsia="Times New Roman" w:cs="Times New Roman"/>
                <w:sz w:val="20"/>
                <w:szCs w:val="20"/>
              </w:rPr>
              <w:t>pkt. 5</w:t>
            </w:r>
            <w:r w:rsidRPr="002901C0">
              <w:rPr>
                <w:rFonts w:eastAsia="Times New Roman" w:cs="Times New Roman"/>
                <w:sz w:val="20"/>
                <w:szCs w:val="20"/>
              </w:rPr>
              <w:t xml:space="preserve"> i taśmami barwiącymi z </w:t>
            </w:r>
            <w:r w:rsidRPr="00591F67">
              <w:rPr>
                <w:rFonts w:eastAsia="Times New Roman" w:cs="Times New Roman"/>
                <w:sz w:val="20"/>
                <w:szCs w:val="20"/>
              </w:rPr>
              <w:t>pkt. 8.</w:t>
            </w:r>
          </w:p>
          <w:p w14:paraId="1140149B" w14:textId="77777777" w:rsidR="003F012A" w:rsidRPr="002901C0" w:rsidRDefault="003F012A" w:rsidP="003F012A">
            <w:pPr>
              <w:numPr>
                <w:ilvl w:val="0"/>
                <w:numId w:val="7"/>
              </w:numPr>
              <w:spacing w:after="0" w:line="256" w:lineRule="auto"/>
              <w:jc w:val="both"/>
              <w:rPr>
                <w:rFonts w:eastAsia="Times New Roman" w:cs="Times New Roman"/>
                <w:sz w:val="20"/>
                <w:szCs w:val="20"/>
              </w:rPr>
            </w:pPr>
            <w:r w:rsidRPr="002901C0">
              <w:rPr>
                <w:rFonts w:eastAsia="Times New Roman" w:cs="Times New Roman"/>
                <w:sz w:val="20"/>
                <w:szCs w:val="20"/>
              </w:rPr>
              <w:t>Materiał etykiety: folia z tworzywa sztucznego.</w:t>
            </w:r>
          </w:p>
          <w:p w14:paraId="626336F4" w14:textId="77777777" w:rsidR="003F012A" w:rsidRPr="002901C0" w:rsidRDefault="003F012A" w:rsidP="003F012A">
            <w:pPr>
              <w:numPr>
                <w:ilvl w:val="0"/>
                <w:numId w:val="7"/>
              </w:numPr>
              <w:spacing w:after="0" w:line="256" w:lineRule="auto"/>
              <w:jc w:val="both"/>
              <w:rPr>
                <w:rFonts w:eastAsia="Times New Roman" w:cs="Times New Roman"/>
                <w:sz w:val="20"/>
                <w:szCs w:val="20"/>
              </w:rPr>
            </w:pPr>
            <w:r w:rsidRPr="002901C0">
              <w:rPr>
                <w:rFonts w:eastAsia="Times New Roman" w:cs="Times New Roman"/>
                <w:sz w:val="20"/>
                <w:szCs w:val="20"/>
              </w:rPr>
              <w:t>Rodzaj kleju: akrylowy.</w:t>
            </w:r>
          </w:p>
          <w:p w14:paraId="134014C5" w14:textId="77777777" w:rsidR="003F012A" w:rsidRPr="002901C0" w:rsidRDefault="003F012A" w:rsidP="003F012A">
            <w:pPr>
              <w:numPr>
                <w:ilvl w:val="0"/>
                <w:numId w:val="7"/>
              </w:numPr>
              <w:spacing w:after="0" w:line="256" w:lineRule="auto"/>
              <w:jc w:val="both"/>
              <w:rPr>
                <w:rFonts w:eastAsia="Times New Roman" w:cs="Times New Roman"/>
                <w:sz w:val="20"/>
                <w:szCs w:val="20"/>
              </w:rPr>
            </w:pPr>
            <w:r w:rsidRPr="002901C0">
              <w:rPr>
                <w:rFonts w:eastAsia="Times New Roman" w:cs="Times New Roman"/>
                <w:sz w:val="20"/>
                <w:szCs w:val="20"/>
              </w:rPr>
              <w:t>Nawój: pojedynczy</w:t>
            </w:r>
          </w:p>
          <w:p w14:paraId="1C699326" w14:textId="77777777" w:rsidR="003F012A" w:rsidRPr="002901C0" w:rsidRDefault="003F012A" w:rsidP="003F012A">
            <w:pPr>
              <w:numPr>
                <w:ilvl w:val="0"/>
                <w:numId w:val="7"/>
              </w:numPr>
              <w:spacing w:after="0" w:line="256" w:lineRule="auto"/>
              <w:jc w:val="both"/>
              <w:rPr>
                <w:rFonts w:eastAsia="Times New Roman" w:cs="Times New Roman"/>
                <w:sz w:val="20"/>
                <w:szCs w:val="20"/>
              </w:rPr>
            </w:pPr>
            <w:r w:rsidRPr="002901C0">
              <w:rPr>
                <w:rFonts w:eastAsia="Times New Roman" w:cs="Times New Roman"/>
                <w:sz w:val="20"/>
                <w:szCs w:val="20"/>
              </w:rPr>
              <w:t>Wymagana odporność na krótkotrwały kontakt z agresywnymi chemikaliami (kwasy, alkohole, pochodne benzenu – m.in. ksylen), bez odporności na mechaniczne ścieranie zadruku na mokro w agresywnym roztworze przed wyschnięciem zadrukowanej etykiety.</w:t>
            </w:r>
          </w:p>
        </w:tc>
        <w:tc>
          <w:tcPr>
            <w:tcW w:w="706" w:type="pct"/>
            <w:tcBorders>
              <w:top w:val="single" w:sz="4" w:space="0" w:color="auto"/>
              <w:left w:val="single" w:sz="4" w:space="0" w:color="auto"/>
              <w:bottom w:val="single" w:sz="4" w:space="0" w:color="auto"/>
              <w:right w:val="single" w:sz="4" w:space="0" w:color="auto"/>
            </w:tcBorders>
            <w:vAlign w:val="center"/>
            <w:hideMark/>
          </w:tcPr>
          <w:p w14:paraId="193EDA85" w14:textId="77777777" w:rsidR="003F012A" w:rsidRPr="002901C0" w:rsidRDefault="003F012A" w:rsidP="00183676">
            <w:pPr>
              <w:spacing w:after="0" w:line="256" w:lineRule="auto"/>
              <w:jc w:val="center"/>
              <w:rPr>
                <w:rFonts w:eastAsia="Times New Roman" w:cs="Times New Roman"/>
                <w:sz w:val="20"/>
                <w:szCs w:val="20"/>
              </w:rPr>
            </w:pPr>
            <w:r w:rsidRPr="002901C0">
              <w:rPr>
                <w:rFonts w:eastAsia="Times New Roman" w:cs="Times New Roman"/>
                <w:sz w:val="20"/>
                <w:szCs w:val="20"/>
              </w:rPr>
              <w:t>tak – oraz podać model, producenta i oferowaną liczbę rolek oraz liczbę etykiet na rolce</w:t>
            </w:r>
          </w:p>
        </w:tc>
        <w:tc>
          <w:tcPr>
            <w:tcW w:w="1062" w:type="pct"/>
            <w:tcBorders>
              <w:top w:val="single" w:sz="4" w:space="0" w:color="auto"/>
              <w:left w:val="single" w:sz="4" w:space="0" w:color="auto"/>
              <w:bottom w:val="single" w:sz="4" w:space="0" w:color="auto"/>
              <w:right w:val="single" w:sz="4" w:space="0" w:color="auto"/>
            </w:tcBorders>
          </w:tcPr>
          <w:p w14:paraId="1B51DF42" w14:textId="77777777" w:rsidR="003F012A" w:rsidRPr="002901C0" w:rsidRDefault="003F012A" w:rsidP="00183676">
            <w:pPr>
              <w:spacing w:after="0" w:line="256" w:lineRule="auto"/>
              <w:jc w:val="center"/>
              <w:rPr>
                <w:rFonts w:eastAsia="Times New Roman" w:cs="Times New Roman"/>
                <w:strike/>
                <w:sz w:val="20"/>
                <w:szCs w:val="20"/>
              </w:rPr>
            </w:pPr>
          </w:p>
        </w:tc>
      </w:tr>
      <w:tr w:rsidR="003F012A" w:rsidRPr="002901C0" w14:paraId="7EE4F1EA" w14:textId="77777777" w:rsidTr="00F00484">
        <w:trPr>
          <w:trHeight w:val="144"/>
        </w:trPr>
        <w:tc>
          <w:tcPr>
            <w:tcW w:w="271" w:type="pct"/>
            <w:tcBorders>
              <w:top w:val="single" w:sz="4" w:space="0" w:color="auto"/>
              <w:left w:val="single" w:sz="4" w:space="0" w:color="auto"/>
              <w:bottom w:val="single" w:sz="4" w:space="0" w:color="auto"/>
              <w:right w:val="single" w:sz="4" w:space="0" w:color="auto"/>
            </w:tcBorders>
            <w:hideMark/>
          </w:tcPr>
          <w:p w14:paraId="15FAFF89" w14:textId="2E3220EE" w:rsidR="003F012A" w:rsidRPr="002901C0" w:rsidRDefault="00F00484" w:rsidP="00183676">
            <w:pPr>
              <w:spacing w:after="0" w:line="256" w:lineRule="auto"/>
              <w:rPr>
                <w:rFonts w:eastAsia="Times New Roman" w:cs="Times New Roman"/>
                <w:sz w:val="20"/>
                <w:szCs w:val="20"/>
              </w:rPr>
            </w:pPr>
            <w:r>
              <w:rPr>
                <w:rFonts w:eastAsia="Times New Roman" w:cs="Times New Roman"/>
                <w:sz w:val="20"/>
                <w:szCs w:val="20"/>
              </w:rPr>
              <w:t>6</w:t>
            </w:r>
          </w:p>
        </w:tc>
        <w:tc>
          <w:tcPr>
            <w:tcW w:w="2961" w:type="pct"/>
            <w:tcBorders>
              <w:top w:val="single" w:sz="4" w:space="0" w:color="auto"/>
              <w:left w:val="single" w:sz="4" w:space="0" w:color="auto"/>
              <w:bottom w:val="single" w:sz="4" w:space="0" w:color="auto"/>
              <w:right w:val="single" w:sz="4" w:space="0" w:color="auto"/>
            </w:tcBorders>
            <w:hideMark/>
          </w:tcPr>
          <w:p w14:paraId="5929E596" w14:textId="77777777" w:rsidR="003F012A" w:rsidRPr="00591F67" w:rsidRDefault="003F012A" w:rsidP="00183676">
            <w:pPr>
              <w:spacing w:after="0" w:line="256" w:lineRule="auto"/>
              <w:jc w:val="both"/>
              <w:rPr>
                <w:rFonts w:eastAsia="Times New Roman" w:cs="Times New Roman"/>
                <w:sz w:val="20"/>
                <w:szCs w:val="20"/>
              </w:rPr>
            </w:pPr>
            <w:r w:rsidRPr="00591F67">
              <w:rPr>
                <w:rFonts w:eastAsia="Times New Roman" w:cs="Times New Roman"/>
                <w:sz w:val="20"/>
                <w:szCs w:val="20"/>
              </w:rPr>
              <w:t>Taśma termotransferowa żywiczna do etykiet nielaminowanych – liczba rolek niezbędna do zadrukowania 45000 etykiet z pkt. 7:</w:t>
            </w:r>
          </w:p>
          <w:p w14:paraId="37599BE3" w14:textId="77777777" w:rsidR="003F012A" w:rsidRPr="00591F67" w:rsidRDefault="003F012A" w:rsidP="00183676">
            <w:pPr>
              <w:spacing w:after="0" w:line="256" w:lineRule="auto"/>
              <w:jc w:val="both"/>
              <w:rPr>
                <w:rFonts w:eastAsia="Times New Roman" w:cs="Times New Roman"/>
                <w:sz w:val="20"/>
                <w:szCs w:val="20"/>
              </w:rPr>
            </w:pPr>
          </w:p>
          <w:p w14:paraId="03BE18A1" w14:textId="77777777" w:rsidR="003F012A" w:rsidRPr="00591F67" w:rsidRDefault="003F012A" w:rsidP="003F012A">
            <w:pPr>
              <w:numPr>
                <w:ilvl w:val="0"/>
                <w:numId w:val="8"/>
              </w:numPr>
              <w:spacing w:after="0" w:line="256" w:lineRule="auto"/>
              <w:jc w:val="both"/>
              <w:rPr>
                <w:rFonts w:eastAsia="Times New Roman" w:cs="Times New Roman"/>
                <w:sz w:val="20"/>
                <w:szCs w:val="20"/>
              </w:rPr>
            </w:pPr>
            <w:r w:rsidRPr="00591F67">
              <w:rPr>
                <w:rFonts w:eastAsia="Times New Roman" w:cs="Times New Roman"/>
                <w:sz w:val="20"/>
                <w:szCs w:val="20"/>
              </w:rPr>
              <w:t>Zastosowanie: do drukarek termotransferowych, kompatybilne z drukarką etykiet z pkt. 5 i etykietami z pkt 7.</w:t>
            </w:r>
          </w:p>
          <w:p w14:paraId="2EC37EB4" w14:textId="77777777" w:rsidR="003F012A" w:rsidRPr="00591F67" w:rsidRDefault="003F012A" w:rsidP="003F012A">
            <w:pPr>
              <w:numPr>
                <w:ilvl w:val="0"/>
                <w:numId w:val="8"/>
              </w:numPr>
              <w:spacing w:after="0" w:line="256" w:lineRule="auto"/>
              <w:jc w:val="both"/>
              <w:rPr>
                <w:rFonts w:eastAsia="Times New Roman" w:cs="Times New Roman"/>
                <w:sz w:val="20"/>
                <w:szCs w:val="20"/>
              </w:rPr>
            </w:pPr>
            <w:r w:rsidRPr="00591F67">
              <w:rPr>
                <w:rFonts w:eastAsia="Times New Roman" w:cs="Times New Roman"/>
                <w:sz w:val="20"/>
                <w:szCs w:val="20"/>
              </w:rPr>
              <w:lastRenderedPageBreak/>
              <w:t>Typ taśmy: żywiczna.</w:t>
            </w:r>
          </w:p>
          <w:p w14:paraId="1CE08B4C" w14:textId="77777777" w:rsidR="003F012A" w:rsidRPr="00591F67" w:rsidRDefault="003F012A" w:rsidP="003F012A">
            <w:pPr>
              <w:numPr>
                <w:ilvl w:val="0"/>
                <w:numId w:val="8"/>
              </w:numPr>
              <w:spacing w:after="0" w:line="256" w:lineRule="auto"/>
              <w:jc w:val="both"/>
              <w:rPr>
                <w:rFonts w:eastAsia="Times New Roman" w:cs="Times New Roman"/>
                <w:sz w:val="20"/>
                <w:szCs w:val="20"/>
              </w:rPr>
            </w:pPr>
            <w:r w:rsidRPr="00591F67">
              <w:rPr>
                <w:rFonts w:eastAsia="Times New Roman" w:cs="Times New Roman"/>
                <w:sz w:val="20"/>
                <w:szCs w:val="20"/>
              </w:rPr>
              <w:t>Kolor zadruku: czarny.</w:t>
            </w:r>
          </w:p>
          <w:p w14:paraId="6D4C9628" w14:textId="77777777" w:rsidR="003F012A" w:rsidRPr="00591F67" w:rsidRDefault="003F012A" w:rsidP="003F012A">
            <w:pPr>
              <w:numPr>
                <w:ilvl w:val="0"/>
                <w:numId w:val="8"/>
              </w:numPr>
              <w:spacing w:after="0" w:line="256" w:lineRule="auto"/>
              <w:jc w:val="both"/>
              <w:rPr>
                <w:rFonts w:eastAsia="Times New Roman" w:cs="Times New Roman"/>
                <w:sz w:val="20"/>
                <w:szCs w:val="20"/>
              </w:rPr>
            </w:pPr>
            <w:r w:rsidRPr="00591F67">
              <w:rPr>
                <w:rFonts w:eastAsia="Times New Roman" w:cs="Times New Roman"/>
                <w:sz w:val="20"/>
                <w:szCs w:val="20"/>
              </w:rPr>
              <w:t xml:space="preserve">Szerokość: min. 30 mm, </w:t>
            </w:r>
          </w:p>
          <w:p w14:paraId="2E297B89" w14:textId="77777777" w:rsidR="003F012A" w:rsidRPr="00591F67" w:rsidRDefault="003F012A" w:rsidP="003F012A">
            <w:pPr>
              <w:numPr>
                <w:ilvl w:val="0"/>
                <w:numId w:val="8"/>
              </w:numPr>
              <w:spacing w:after="0" w:line="256" w:lineRule="auto"/>
              <w:jc w:val="both"/>
              <w:rPr>
                <w:rFonts w:eastAsia="Times New Roman" w:cs="Times New Roman"/>
                <w:sz w:val="20"/>
                <w:szCs w:val="20"/>
              </w:rPr>
            </w:pPr>
            <w:r w:rsidRPr="00591F67">
              <w:rPr>
                <w:rFonts w:eastAsia="Times New Roman" w:cs="Times New Roman"/>
                <w:sz w:val="20"/>
                <w:szCs w:val="20"/>
              </w:rPr>
              <w:t>Przy zastosowaniu kompatybilnych drukarek oraz etykiet osiągalna jest odporność na krótkotrwały kontakt z agresywnymi chemikaliami (kwasy, alkohole, pochodne benzenu – m.in. ksylen), bez odporności na mechaniczne ścieranie zadruku na mokro w agresywnym roztworze przed wyschnięciem zadrukowanej etykiety.</w:t>
            </w:r>
          </w:p>
        </w:tc>
        <w:tc>
          <w:tcPr>
            <w:tcW w:w="706" w:type="pct"/>
            <w:tcBorders>
              <w:top w:val="single" w:sz="4" w:space="0" w:color="auto"/>
              <w:left w:val="single" w:sz="4" w:space="0" w:color="auto"/>
              <w:bottom w:val="single" w:sz="4" w:space="0" w:color="auto"/>
              <w:right w:val="single" w:sz="4" w:space="0" w:color="auto"/>
            </w:tcBorders>
            <w:vAlign w:val="center"/>
            <w:hideMark/>
          </w:tcPr>
          <w:p w14:paraId="08750C1E" w14:textId="77777777" w:rsidR="003F012A" w:rsidRPr="002901C0" w:rsidRDefault="003F012A" w:rsidP="00183676">
            <w:pPr>
              <w:spacing w:after="0" w:line="256" w:lineRule="auto"/>
              <w:jc w:val="center"/>
              <w:rPr>
                <w:rFonts w:eastAsia="Times New Roman" w:cs="Times New Roman"/>
                <w:sz w:val="20"/>
                <w:szCs w:val="20"/>
              </w:rPr>
            </w:pPr>
            <w:r w:rsidRPr="002901C0">
              <w:rPr>
                <w:rFonts w:eastAsia="Times New Roman" w:cs="Times New Roman"/>
                <w:sz w:val="20"/>
                <w:szCs w:val="20"/>
              </w:rPr>
              <w:lastRenderedPageBreak/>
              <w:t xml:space="preserve">tak – oraz podać model, producenta i oferowaną liczbę rolek oraz </w:t>
            </w:r>
            <w:r w:rsidRPr="002901C0">
              <w:rPr>
                <w:rFonts w:eastAsia="Times New Roman" w:cs="Times New Roman"/>
                <w:sz w:val="20"/>
                <w:szCs w:val="20"/>
              </w:rPr>
              <w:lastRenderedPageBreak/>
              <w:t>długość jednej rolki</w:t>
            </w:r>
          </w:p>
        </w:tc>
        <w:tc>
          <w:tcPr>
            <w:tcW w:w="1062" w:type="pct"/>
            <w:tcBorders>
              <w:top w:val="single" w:sz="4" w:space="0" w:color="auto"/>
              <w:left w:val="single" w:sz="4" w:space="0" w:color="auto"/>
              <w:bottom w:val="single" w:sz="4" w:space="0" w:color="auto"/>
              <w:right w:val="single" w:sz="4" w:space="0" w:color="auto"/>
            </w:tcBorders>
          </w:tcPr>
          <w:p w14:paraId="0D5E8A1B" w14:textId="77777777" w:rsidR="003F012A" w:rsidRPr="002901C0" w:rsidRDefault="003F012A" w:rsidP="00183676">
            <w:pPr>
              <w:spacing w:after="0" w:line="256" w:lineRule="auto"/>
              <w:jc w:val="center"/>
              <w:rPr>
                <w:rFonts w:eastAsia="Times New Roman" w:cs="Times New Roman"/>
                <w:strike/>
                <w:sz w:val="20"/>
                <w:szCs w:val="20"/>
              </w:rPr>
            </w:pPr>
          </w:p>
        </w:tc>
      </w:tr>
      <w:tr w:rsidR="003F012A" w:rsidRPr="002901C0" w14:paraId="0C12AE3E" w14:textId="77777777" w:rsidTr="00F00484">
        <w:trPr>
          <w:trHeight w:val="144"/>
        </w:trPr>
        <w:tc>
          <w:tcPr>
            <w:tcW w:w="271" w:type="pct"/>
            <w:tcBorders>
              <w:top w:val="single" w:sz="4" w:space="0" w:color="auto"/>
              <w:left w:val="single" w:sz="4" w:space="0" w:color="auto"/>
              <w:bottom w:val="single" w:sz="4" w:space="0" w:color="auto"/>
              <w:right w:val="single" w:sz="4" w:space="0" w:color="auto"/>
            </w:tcBorders>
            <w:hideMark/>
          </w:tcPr>
          <w:p w14:paraId="3021A27B" w14:textId="52B678E6" w:rsidR="003F012A" w:rsidRPr="002901C0" w:rsidRDefault="00F00484" w:rsidP="00183676">
            <w:pPr>
              <w:spacing w:after="0" w:line="256" w:lineRule="auto"/>
              <w:rPr>
                <w:rFonts w:eastAsia="Times New Roman" w:cs="Times New Roman"/>
                <w:sz w:val="20"/>
                <w:szCs w:val="20"/>
              </w:rPr>
            </w:pPr>
            <w:r>
              <w:rPr>
                <w:rFonts w:eastAsia="Times New Roman" w:cs="Times New Roman"/>
                <w:sz w:val="20"/>
                <w:szCs w:val="20"/>
              </w:rPr>
              <w:t>7</w:t>
            </w:r>
          </w:p>
        </w:tc>
        <w:tc>
          <w:tcPr>
            <w:tcW w:w="2961" w:type="pct"/>
            <w:tcBorders>
              <w:top w:val="single" w:sz="4" w:space="0" w:color="auto"/>
              <w:left w:val="single" w:sz="4" w:space="0" w:color="auto"/>
              <w:bottom w:val="single" w:sz="4" w:space="0" w:color="auto"/>
              <w:right w:val="single" w:sz="4" w:space="0" w:color="auto"/>
            </w:tcBorders>
            <w:hideMark/>
          </w:tcPr>
          <w:p w14:paraId="156327EC" w14:textId="77777777" w:rsidR="003F012A" w:rsidRPr="00591F67" w:rsidRDefault="003F012A" w:rsidP="00183676">
            <w:pPr>
              <w:spacing w:after="0" w:line="240" w:lineRule="auto"/>
              <w:jc w:val="both"/>
              <w:rPr>
                <w:rFonts w:eastAsia="Times New Roman" w:cs="Times New Roman"/>
                <w:sz w:val="20"/>
                <w:szCs w:val="20"/>
              </w:rPr>
            </w:pPr>
            <w:r w:rsidRPr="00591F67">
              <w:rPr>
                <w:rFonts w:eastAsia="Times New Roman" w:cs="Times New Roman"/>
                <w:sz w:val="20"/>
                <w:szCs w:val="20"/>
              </w:rPr>
              <w:t>Etykiety nielaminowane na szkiełka mikroskopowe – 90000 etykiet konfekcjonowanych na rolkach:</w:t>
            </w:r>
          </w:p>
          <w:p w14:paraId="17FF370B" w14:textId="77777777" w:rsidR="003F012A" w:rsidRPr="00591F67" w:rsidRDefault="003F012A" w:rsidP="00183676">
            <w:pPr>
              <w:spacing w:after="0" w:line="240" w:lineRule="auto"/>
              <w:jc w:val="both"/>
              <w:rPr>
                <w:rFonts w:eastAsia="Times New Roman" w:cs="Times New Roman"/>
                <w:sz w:val="20"/>
                <w:szCs w:val="20"/>
              </w:rPr>
            </w:pPr>
          </w:p>
          <w:p w14:paraId="34EF5E37" w14:textId="77777777" w:rsidR="003F012A" w:rsidRPr="00591F67" w:rsidRDefault="003F012A" w:rsidP="003F012A">
            <w:pPr>
              <w:numPr>
                <w:ilvl w:val="0"/>
                <w:numId w:val="9"/>
              </w:numPr>
              <w:spacing w:after="0" w:line="240" w:lineRule="auto"/>
              <w:jc w:val="both"/>
              <w:rPr>
                <w:rFonts w:eastAsia="Times New Roman" w:cs="Times New Roman"/>
                <w:sz w:val="20"/>
                <w:szCs w:val="20"/>
              </w:rPr>
            </w:pPr>
            <w:r w:rsidRPr="00591F67">
              <w:rPr>
                <w:rFonts w:eastAsia="Times New Roman" w:cs="Times New Roman"/>
                <w:sz w:val="20"/>
                <w:szCs w:val="20"/>
              </w:rPr>
              <w:t>Wymiary etykiety: 24 x 24 mm, rogi zaokrąglone.</w:t>
            </w:r>
          </w:p>
          <w:p w14:paraId="5DFE26D1" w14:textId="77777777" w:rsidR="003F012A" w:rsidRPr="00591F67" w:rsidRDefault="003F012A" w:rsidP="003F012A">
            <w:pPr>
              <w:numPr>
                <w:ilvl w:val="0"/>
                <w:numId w:val="9"/>
              </w:numPr>
              <w:spacing w:after="0" w:line="240" w:lineRule="auto"/>
              <w:jc w:val="both"/>
              <w:rPr>
                <w:rFonts w:eastAsia="Times New Roman" w:cs="Times New Roman"/>
                <w:sz w:val="20"/>
                <w:szCs w:val="20"/>
              </w:rPr>
            </w:pPr>
            <w:r w:rsidRPr="00591F67">
              <w:rPr>
                <w:rFonts w:eastAsia="Times New Roman" w:cs="Times New Roman"/>
                <w:sz w:val="20"/>
                <w:szCs w:val="20"/>
              </w:rPr>
              <w:t>Zastosowanie: do drukarek termotransferowych, kompatybilne z drukarką etykiet z pkt. 5 i taśmami barwiącymi z pkt. 10.</w:t>
            </w:r>
          </w:p>
          <w:p w14:paraId="7A23FAA9" w14:textId="77777777" w:rsidR="003F012A" w:rsidRPr="00591F67" w:rsidRDefault="003F012A" w:rsidP="003F012A">
            <w:pPr>
              <w:numPr>
                <w:ilvl w:val="0"/>
                <w:numId w:val="9"/>
              </w:numPr>
              <w:spacing w:after="0" w:line="240" w:lineRule="auto"/>
              <w:jc w:val="both"/>
              <w:rPr>
                <w:rFonts w:eastAsia="Times New Roman" w:cs="Times New Roman"/>
                <w:sz w:val="20"/>
                <w:szCs w:val="20"/>
              </w:rPr>
            </w:pPr>
            <w:r w:rsidRPr="00591F67">
              <w:rPr>
                <w:rFonts w:eastAsia="Times New Roman" w:cs="Times New Roman"/>
                <w:sz w:val="20"/>
                <w:szCs w:val="20"/>
              </w:rPr>
              <w:t>Materiał etykiety: folia z tworzywa sztucznego.</w:t>
            </w:r>
          </w:p>
          <w:p w14:paraId="51542453" w14:textId="77777777" w:rsidR="003F012A" w:rsidRPr="00591F67" w:rsidRDefault="003F012A" w:rsidP="003F012A">
            <w:pPr>
              <w:numPr>
                <w:ilvl w:val="0"/>
                <w:numId w:val="9"/>
              </w:numPr>
              <w:spacing w:after="0" w:line="240" w:lineRule="auto"/>
              <w:jc w:val="both"/>
              <w:rPr>
                <w:rFonts w:eastAsia="Times New Roman" w:cs="Times New Roman"/>
                <w:sz w:val="20"/>
                <w:szCs w:val="20"/>
              </w:rPr>
            </w:pPr>
            <w:r w:rsidRPr="00591F67">
              <w:rPr>
                <w:rFonts w:eastAsia="Times New Roman" w:cs="Times New Roman"/>
                <w:sz w:val="20"/>
                <w:szCs w:val="20"/>
              </w:rPr>
              <w:t>Rodzaj kleju: akrylowy.</w:t>
            </w:r>
          </w:p>
          <w:p w14:paraId="24025274" w14:textId="77777777" w:rsidR="003F012A" w:rsidRPr="00591F67" w:rsidRDefault="003F012A" w:rsidP="003F012A">
            <w:pPr>
              <w:numPr>
                <w:ilvl w:val="0"/>
                <w:numId w:val="9"/>
              </w:numPr>
              <w:spacing w:after="0" w:line="240" w:lineRule="auto"/>
              <w:jc w:val="both"/>
              <w:rPr>
                <w:rFonts w:eastAsia="Times New Roman" w:cs="Times New Roman"/>
                <w:sz w:val="20"/>
                <w:szCs w:val="20"/>
              </w:rPr>
            </w:pPr>
            <w:r w:rsidRPr="00591F67">
              <w:rPr>
                <w:rFonts w:eastAsia="Times New Roman" w:cs="Times New Roman"/>
                <w:sz w:val="20"/>
                <w:szCs w:val="20"/>
              </w:rPr>
              <w:t>Nawój: pojedynczy.</w:t>
            </w:r>
          </w:p>
          <w:p w14:paraId="0821FEDD" w14:textId="77777777" w:rsidR="003F012A" w:rsidRPr="00591F67" w:rsidRDefault="003F012A" w:rsidP="003F012A">
            <w:pPr>
              <w:numPr>
                <w:ilvl w:val="0"/>
                <w:numId w:val="9"/>
              </w:numPr>
              <w:spacing w:after="0" w:line="240" w:lineRule="auto"/>
              <w:jc w:val="both"/>
              <w:rPr>
                <w:rFonts w:eastAsia="Times New Roman" w:cs="Times New Roman"/>
                <w:sz w:val="20"/>
                <w:szCs w:val="20"/>
              </w:rPr>
            </w:pPr>
            <w:r w:rsidRPr="00591F67">
              <w:rPr>
                <w:rFonts w:eastAsia="Times New Roman" w:cs="Times New Roman"/>
                <w:sz w:val="20"/>
                <w:szCs w:val="20"/>
              </w:rPr>
              <w:t>Wymagana odporność na kontakt z agresywnymi chemikaliami (kwasy, alkohole, pochodne benzenu – m.in. ksylen), wraz odpornością na mechaniczne ścieranie zadruku na mokro w agresywnym roztworze przed wyschnięciem zadrukowanej etykiety.</w:t>
            </w:r>
          </w:p>
        </w:tc>
        <w:tc>
          <w:tcPr>
            <w:tcW w:w="706" w:type="pct"/>
            <w:tcBorders>
              <w:top w:val="single" w:sz="4" w:space="0" w:color="auto"/>
              <w:left w:val="single" w:sz="4" w:space="0" w:color="auto"/>
              <w:bottom w:val="single" w:sz="4" w:space="0" w:color="auto"/>
              <w:right w:val="single" w:sz="4" w:space="0" w:color="auto"/>
            </w:tcBorders>
            <w:vAlign w:val="center"/>
            <w:hideMark/>
          </w:tcPr>
          <w:p w14:paraId="1B3B2C25" w14:textId="77777777" w:rsidR="003F012A" w:rsidRPr="002901C0" w:rsidRDefault="003F012A" w:rsidP="00183676">
            <w:pPr>
              <w:spacing w:after="0" w:line="256" w:lineRule="auto"/>
              <w:jc w:val="center"/>
              <w:rPr>
                <w:rFonts w:eastAsia="Times New Roman" w:cs="Times New Roman"/>
                <w:sz w:val="20"/>
                <w:szCs w:val="20"/>
              </w:rPr>
            </w:pPr>
            <w:r w:rsidRPr="002901C0">
              <w:rPr>
                <w:rFonts w:eastAsia="Times New Roman" w:cs="Times New Roman"/>
                <w:sz w:val="20"/>
                <w:szCs w:val="20"/>
              </w:rPr>
              <w:t>tak – oraz podać model, producenta i oferowaną liczbę rolek oraz liczbę etykiet na rolce</w:t>
            </w:r>
          </w:p>
        </w:tc>
        <w:tc>
          <w:tcPr>
            <w:tcW w:w="1062" w:type="pct"/>
            <w:tcBorders>
              <w:top w:val="single" w:sz="4" w:space="0" w:color="auto"/>
              <w:left w:val="single" w:sz="4" w:space="0" w:color="auto"/>
              <w:bottom w:val="single" w:sz="4" w:space="0" w:color="auto"/>
              <w:right w:val="single" w:sz="4" w:space="0" w:color="auto"/>
            </w:tcBorders>
          </w:tcPr>
          <w:p w14:paraId="48194256" w14:textId="77777777" w:rsidR="003F012A" w:rsidRPr="002901C0" w:rsidRDefault="003F012A" w:rsidP="00183676">
            <w:pPr>
              <w:spacing w:after="0" w:line="256" w:lineRule="auto"/>
              <w:jc w:val="center"/>
              <w:rPr>
                <w:rFonts w:eastAsia="Times New Roman" w:cs="Times New Roman"/>
                <w:strike/>
                <w:sz w:val="20"/>
                <w:szCs w:val="20"/>
              </w:rPr>
            </w:pPr>
          </w:p>
        </w:tc>
      </w:tr>
      <w:tr w:rsidR="003F012A" w:rsidRPr="002901C0" w14:paraId="4113F6D7" w14:textId="77777777" w:rsidTr="00F00484">
        <w:trPr>
          <w:trHeight w:val="144"/>
        </w:trPr>
        <w:tc>
          <w:tcPr>
            <w:tcW w:w="271" w:type="pct"/>
            <w:tcBorders>
              <w:top w:val="single" w:sz="4" w:space="0" w:color="auto"/>
              <w:left w:val="single" w:sz="4" w:space="0" w:color="auto"/>
              <w:bottom w:val="single" w:sz="4" w:space="0" w:color="auto"/>
              <w:right w:val="single" w:sz="4" w:space="0" w:color="auto"/>
            </w:tcBorders>
            <w:hideMark/>
          </w:tcPr>
          <w:p w14:paraId="43B34190" w14:textId="51C68DDA" w:rsidR="003F012A" w:rsidRPr="002901C0" w:rsidRDefault="00F00484" w:rsidP="00183676">
            <w:pPr>
              <w:spacing w:after="0" w:line="256" w:lineRule="auto"/>
              <w:rPr>
                <w:rFonts w:eastAsia="Times New Roman" w:cs="Times New Roman"/>
                <w:sz w:val="20"/>
                <w:szCs w:val="20"/>
              </w:rPr>
            </w:pPr>
            <w:r>
              <w:rPr>
                <w:rFonts w:eastAsia="Times New Roman" w:cs="Times New Roman"/>
                <w:sz w:val="20"/>
                <w:szCs w:val="20"/>
              </w:rPr>
              <w:t>8</w:t>
            </w:r>
          </w:p>
        </w:tc>
        <w:tc>
          <w:tcPr>
            <w:tcW w:w="2961" w:type="pct"/>
            <w:tcBorders>
              <w:top w:val="single" w:sz="4" w:space="0" w:color="auto"/>
              <w:left w:val="single" w:sz="4" w:space="0" w:color="auto"/>
              <w:bottom w:val="single" w:sz="4" w:space="0" w:color="auto"/>
              <w:right w:val="single" w:sz="4" w:space="0" w:color="auto"/>
            </w:tcBorders>
            <w:hideMark/>
          </w:tcPr>
          <w:p w14:paraId="4EE6FE43" w14:textId="77777777" w:rsidR="003F012A" w:rsidRPr="00591F67" w:rsidRDefault="003F012A" w:rsidP="00183676">
            <w:pPr>
              <w:spacing w:after="0" w:line="240" w:lineRule="auto"/>
              <w:jc w:val="both"/>
              <w:rPr>
                <w:rFonts w:eastAsia="Times New Roman" w:cs="Times New Roman"/>
                <w:sz w:val="20"/>
                <w:szCs w:val="20"/>
              </w:rPr>
            </w:pPr>
            <w:r w:rsidRPr="00591F67">
              <w:rPr>
                <w:rFonts w:eastAsia="Times New Roman" w:cs="Times New Roman"/>
                <w:sz w:val="20"/>
                <w:szCs w:val="20"/>
              </w:rPr>
              <w:t>Taśma termotransferowa żywiczna do etykiet nielaminowanych – liczba rolek niezbędna do zadrukowania 90000 etykiet z pkt. 9:</w:t>
            </w:r>
          </w:p>
          <w:p w14:paraId="0EB53F16" w14:textId="77777777" w:rsidR="003F012A" w:rsidRPr="00591F67" w:rsidRDefault="003F012A" w:rsidP="00183676">
            <w:pPr>
              <w:spacing w:after="0" w:line="240" w:lineRule="auto"/>
              <w:jc w:val="both"/>
              <w:rPr>
                <w:rFonts w:eastAsia="Times New Roman" w:cs="Times New Roman"/>
                <w:sz w:val="20"/>
                <w:szCs w:val="20"/>
              </w:rPr>
            </w:pPr>
          </w:p>
          <w:p w14:paraId="5A41F44D" w14:textId="77777777" w:rsidR="003F012A" w:rsidRPr="00591F67" w:rsidRDefault="003F012A" w:rsidP="003F012A">
            <w:pPr>
              <w:numPr>
                <w:ilvl w:val="0"/>
                <w:numId w:val="4"/>
              </w:numPr>
              <w:spacing w:after="0" w:line="240" w:lineRule="auto"/>
              <w:jc w:val="both"/>
              <w:rPr>
                <w:rFonts w:eastAsia="Times New Roman" w:cs="Times New Roman"/>
                <w:sz w:val="20"/>
                <w:szCs w:val="20"/>
              </w:rPr>
            </w:pPr>
            <w:r w:rsidRPr="00591F67">
              <w:rPr>
                <w:rFonts w:eastAsia="Times New Roman" w:cs="Times New Roman"/>
                <w:sz w:val="20"/>
                <w:szCs w:val="20"/>
              </w:rPr>
              <w:t>Zastosowanie: do drukarek termotransferowych, kompatybilne z drukarką etykiet z pkt. 5 i etykietami z pkt. 9.</w:t>
            </w:r>
          </w:p>
          <w:p w14:paraId="2F46087D" w14:textId="77777777" w:rsidR="003F012A" w:rsidRPr="00591F67" w:rsidRDefault="003F012A" w:rsidP="003F012A">
            <w:pPr>
              <w:numPr>
                <w:ilvl w:val="0"/>
                <w:numId w:val="4"/>
              </w:numPr>
              <w:spacing w:after="0" w:line="240" w:lineRule="auto"/>
              <w:jc w:val="both"/>
              <w:rPr>
                <w:rFonts w:eastAsia="Times New Roman" w:cs="Times New Roman"/>
                <w:sz w:val="20"/>
                <w:szCs w:val="20"/>
              </w:rPr>
            </w:pPr>
            <w:r w:rsidRPr="00591F67">
              <w:rPr>
                <w:rFonts w:eastAsia="Times New Roman" w:cs="Times New Roman"/>
                <w:sz w:val="20"/>
                <w:szCs w:val="20"/>
              </w:rPr>
              <w:t>Typ taśmy: żywiczna.</w:t>
            </w:r>
          </w:p>
          <w:p w14:paraId="2CC06712" w14:textId="77777777" w:rsidR="003F012A" w:rsidRPr="00591F67" w:rsidRDefault="003F012A" w:rsidP="003F012A">
            <w:pPr>
              <w:numPr>
                <w:ilvl w:val="0"/>
                <w:numId w:val="4"/>
              </w:numPr>
              <w:spacing w:after="0" w:line="240" w:lineRule="auto"/>
              <w:jc w:val="both"/>
              <w:rPr>
                <w:rFonts w:eastAsia="Times New Roman" w:cs="Times New Roman"/>
                <w:sz w:val="20"/>
                <w:szCs w:val="20"/>
              </w:rPr>
            </w:pPr>
            <w:r w:rsidRPr="00591F67">
              <w:rPr>
                <w:rFonts w:eastAsia="Times New Roman" w:cs="Times New Roman"/>
                <w:sz w:val="20"/>
                <w:szCs w:val="20"/>
              </w:rPr>
              <w:t>Kolor zadruku: czarny.</w:t>
            </w:r>
          </w:p>
          <w:p w14:paraId="6C3EF833" w14:textId="77777777" w:rsidR="003F012A" w:rsidRPr="00591F67" w:rsidRDefault="003F012A" w:rsidP="003F012A">
            <w:pPr>
              <w:numPr>
                <w:ilvl w:val="0"/>
                <w:numId w:val="4"/>
              </w:numPr>
              <w:spacing w:after="0" w:line="240" w:lineRule="auto"/>
              <w:jc w:val="both"/>
              <w:rPr>
                <w:rFonts w:eastAsia="Times New Roman" w:cs="Times New Roman"/>
                <w:sz w:val="20"/>
                <w:szCs w:val="20"/>
              </w:rPr>
            </w:pPr>
            <w:r w:rsidRPr="00591F67">
              <w:rPr>
                <w:rFonts w:eastAsia="Times New Roman" w:cs="Times New Roman"/>
                <w:sz w:val="20"/>
                <w:szCs w:val="20"/>
              </w:rPr>
              <w:t>Szerokość min. 30 mm.</w:t>
            </w:r>
          </w:p>
          <w:p w14:paraId="46C4B47D" w14:textId="77777777" w:rsidR="003F012A" w:rsidRPr="00591F67" w:rsidRDefault="003F012A" w:rsidP="003F012A">
            <w:pPr>
              <w:numPr>
                <w:ilvl w:val="0"/>
                <w:numId w:val="4"/>
              </w:numPr>
              <w:spacing w:after="0" w:line="240" w:lineRule="auto"/>
              <w:jc w:val="both"/>
              <w:rPr>
                <w:rFonts w:eastAsia="Times New Roman" w:cs="Times New Roman"/>
                <w:sz w:val="20"/>
                <w:szCs w:val="20"/>
              </w:rPr>
            </w:pPr>
            <w:r w:rsidRPr="00591F67">
              <w:rPr>
                <w:rFonts w:eastAsia="Times New Roman" w:cs="Times New Roman"/>
                <w:sz w:val="20"/>
                <w:szCs w:val="20"/>
              </w:rPr>
              <w:t>Przy zastosowaniu kompatybilnych drukarek oraz etykiet wymagana odporność na kontakt z agresywnymi chemikaliami (kwasy, alkohole, pochodne benzenu – m.in. ksylen), wraz z odpornością na mechaniczne ścieranie zadruku na mokro w agresywnym roztworze przed wyschnięciem zadrukowanej etykiety.</w:t>
            </w:r>
          </w:p>
        </w:tc>
        <w:tc>
          <w:tcPr>
            <w:tcW w:w="706" w:type="pct"/>
            <w:tcBorders>
              <w:top w:val="single" w:sz="4" w:space="0" w:color="auto"/>
              <w:left w:val="single" w:sz="4" w:space="0" w:color="auto"/>
              <w:bottom w:val="single" w:sz="4" w:space="0" w:color="auto"/>
              <w:right w:val="single" w:sz="4" w:space="0" w:color="auto"/>
            </w:tcBorders>
            <w:vAlign w:val="center"/>
            <w:hideMark/>
          </w:tcPr>
          <w:p w14:paraId="034CF1E9" w14:textId="77777777" w:rsidR="003F012A" w:rsidRPr="002901C0" w:rsidRDefault="003F012A" w:rsidP="00183676">
            <w:pPr>
              <w:spacing w:after="0" w:line="256" w:lineRule="auto"/>
              <w:jc w:val="center"/>
              <w:rPr>
                <w:rFonts w:eastAsia="Times New Roman" w:cs="Times New Roman"/>
                <w:sz w:val="20"/>
                <w:szCs w:val="20"/>
              </w:rPr>
            </w:pPr>
            <w:r w:rsidRPr="002901C0">
              <w:rPr>
                <w:rFonts w:eastAsia="Times New Roman" w:cs="Times New Roman"/>
                <w:sz w:val="20"/>
                <w:szCs w:val="20"/>
              </w:rPr>
              <w:t>tak – oraz podać model, producenta i oferowaną liczbę rolek oraz długość jednej rolki</w:t>
            </w:r>
          </w:p>
        </w:tc>
        <w:tc>
          <w:tcPr>
            <w:tcW w:w="1062" w:type="pct"/>
            <w:tcBorders>
              <w:top w:val="single" w:sz="4" w:space="0" w:color="auto"/>
              <w:left w:val="single" w:sz="4" w:space="0" w:color="auto"/>
              <w:bottom w:val="single" w:sz="4" w:space="0" w:color="auto"/>
              <w:right w:val="single" w:sz="4" w:space="0" w:color="auto"/>
            </w:tcBorders>
          </w:tcPr>
          <w:p w14:paraId="39E92A99" w14:textId="77777777" w:rsidR="003F012A" w:rsidRPr="002901C0" w:rsidRDefault="003F012A" w:rsidP="00183676">
            <w:pPr>
              <w:spacing w:after="0" w:line="256" w:lineRule="auto"/>
              <w:jc w:val="center"/>
              <w:rPr>
                <w:rFonts w:eastAsia="Times New Roman" w:cs="Times New Roman"/>
                <w:strike/>
                <w:sz w:val="20"/>
                <w:szCs w:val="20"/>
              </w:rPr>
            </w:pPr>
          </w:p>
        </w:tc>
      </w:tr>
      <w:tr w:rsidR="003F012A" w:rsidRPr="002901C0" w14:paraId="008C9C89" w14:textId="77777777" w:rsidTr="00F00484">
        <w:trPr>
          <w:trHeight w:val="144"/>
        </w:trPr>
        <w:tc>
          <w:tcPr>
            <w:tcW w:w="271" w:type="pct"/>
            <w:tcBorders>
              <w:top w:val="single" w:sz="4" w:space="0" w:color="auto"/>
              <w:left w:val="single" w:sz="4" w:space="0" w:color="auto"/>
              <w:bottom w:val="single" w:sz="4" w:space="0" w:color="auto"/>
              <w:right w:val="single" w:sz="4" w:space="0" w:color="auto"/>
            </w:tcBorders>
            <w:hideMark/>
          </w:tcPr>
          <w:p w14:paraId="35F17CFC" w14:textId="793C7040" w:rsidR="003F012A" w:rsidRPr="002901C0" w:rsidRDefault="00F00484" w:rsidP="00183676">
            <w:pPr>
              <w:spacing w:after="0" w:line="256" w:lineRule="auto"/>
              <w:rPr>
                <w:rFonts w:eastAsia="Times New Roman" w:cs="Times New Roman"/>
                <w:sz w:val="20"/>
                <w:szCs w:val="20"/>
              </w:rPr>
            </w:pPr>
            <w:r>
              <w:rPr>
                <w:rFonts w:eastAsia="Times New Roman" w:cs="Times New Roman"/>
                <w:sz w:val="20"/>
                <w:szCs w:val="20"/>
              </w:rPr>
              <w:t>9</w:t>
            </w:r>
          </w:p>
        </w:tc>
        <w:tc>
          <w:tcPr>
            <w:tcW w:w="2961" w:type="pct"/>
            <w:tcBorders>
              <w:top w:val="single" w:sz="4" w:space="0" w:color="auto"/>
              <w:left w:val="single" w:sz="4" w:space="0" w:color="auto"/>
              <w:bottom w:val="single" w:sz="4" w:space="0" w:color="auto"/>
              <w:right w:val="single" w:sz="4" w:space="0" w:color="auto"/>
            </w:tcBorders>
            <w:hideMark/>
          </w:tcPr>
          <w:p w14:paraId="0C549216" w14:textId="77777777" w:rsidR="003F012A" w:rsidRPr="00591F67" w:rsidRDefault="003F012A" w:rsidP="00183676">
            <w:pPr>
              <w:spacing w:after="0" w:line="256" w:lineRule="auto"/>
              <w:jc w:val="both"/>
              <w:rPr>
                <w:rFonts w:eastAsia="Times New Roman" w:cs="Times New Roman"/>
                <w:sz w:val="20"/>
                <w:szCs w:val="20"/>
              </w:rPr>
            </w:pPr>
            <w:r w:rsidRPr="00591F67">
              <w:rPr>
                <w:rFonts w:eastAsia="Times New Roman" w:cs="Times New Roman"/>
                <w:sz w:val="20"/>
                <w:szCs w:val="20"/>
              </w:rPr>
              <w:t>Taśma termotransferowa żywiczna do etykiet z warstwą laminującą – 10 rolek</w:t>
            </w:r>
          </w:p>
          <w:p w14:paraId="237514DC" w14:textId="77777777" w:rsidR="003F012A" w:rsidRPr="00591F67" w:rsidRDefault="003F012A" w:rsidP="00183676">
            <w:pPr>
              <w:spacing w:after="0" w:line="256" w:lineRule="auto"/>
              <w:jc w:val="both"/>
              <w:rPr>
                <w:rFonts w:eastAsia="Times New Roman" w:cs="Times New Roman"/>
                <w:sz w:val="20"/>
                <w:szCs w:val="20"/>
              </w:rPr>
            </w:pPr>
          </w:p>
          <w:p w14:paraId="5DADFE9B" w14:textId="77777777" w:rsidR="003F012A" w:rsidRPr="00591F67" w:rsidRDefault="003F012A" w:rsidP="003F012A">
            <w:pPr>
              <w:numPr>
                <w:ilvl w:val="0"/>
                <w:numId w:val="10"/>
              </w:numPr>
              <w:spacing w:after="0" w:line="256" w:lineRule="auto"/>
              <w:contextualSpacing/>
              <w:jc w:val="both"/>
              <w:rPr>
                <w:rFonts w:eastAsia="Times New Roman" w:cs="Times New Roman"/>
                <w:sz w:val="20"/>
                <w:szCs w:val="20"/>
              </w:rPr>
            </w:pPr>
            <w:r w:rsidRPr="00591F67">
              <w:rPr>
                <w:rFonts w:eastAsia="Times New Roman" w:cs="Times New Roman"/>
                <w:sz w:val="20"/>
                <w:szCs w:val="20"/>
              </w:rPr>
              <w:t>Zastosowanie: do drukarek termotransferowych z pkt. 5</w:t>
            </w:r>
          </w:p>
          <w:p w14:paraId="770D7378" w14:textId="77777777" w:rsidR="003F012A" w:rsidRPr="00591F67" w:rsidRDefault="003F012A" w:rsidP="003F012A">
            <w:pPr>
              <w:numPr>
                <w:ilvl w:val="0"/>
                <w:numId w:val="10"/>
              </w:numPr>
              <w:spacing w:after="0" w:line="256" w:lineRule="auto"/>
              <w:contextualSpacing/>
              <w:jc w:val="both"/>
              <w:rPr>
                <w:rFonts w:eastAsia="Times New Roman" w:cs="Times New Roman"/>
                <w:sz w:val="20"/>
                <w:szCs w:val="20"/>
              </w:rPr>
            </w:pPr>
            <w:r w:rsidRPr="00591F67">
              <w:rPr>
                <w:rFonts w:eastAsia="Times New Roman" w:cs="Times New Roman"/>
                <w:sz w:val="20"/>
                <w:szCs w:val="20"/>
              </w:rPr>
              <w:t>Typ taśmy: żywiczna – do etykiet foliowych</w:t>
            </w:r>
          </w:p>
          <w:p w14:paraId="5A13C9C3" w14:textId="77777777" w:rsidR="003F012A" w:rsidRPr="00591F67" w:rsidRDefault="003F012A" w:rsidP="003F012A">
            <w:pPr>
              <w:numPr>
                <w:ilvl w:val="0"/>
                <w:numId w:val="10"/>
              </w:numPr>
              <w:spacing w:after="0" w:line="256" w:lineRule="auto"/>
              <w:contextualSpacing/>
              <w:jc w:val="both"/>
              <w:rPr>
                <w:rFonts w:eastAsia="Times New Roman" w:cs="Times New Roman"/>
                <w:sz w:val="20"/>
                <w:szCs w:val="20"/>
              </w:rPr>
            </w:pPr>
            <w:r w:rsidRPr="00591F67">
              <w:rPr>
                <w:rFonts w:eastAsia="Times New Roman" w:cs="Times New Roman"/>
                <w:sz w:val="20"/>
                <w:szCs w:val="20"/>
              </w:rPr>
              <w:t>Kolor zadruku: czarny</w:t>
            </w:r>
          </w:p>
          <w:p w14:paraId="443031C1" w14:textId="77777777" w:rsidR="003F012A" w:rsidRPr="00591F67" w:rsidRDefault="003F012A" w:rsidP="003F012A">
            <w:pPr>
              <w:numPr>
                <w:ilvl w:val="0"/>
                <w:numId w:val="10"/>
              </w:numPr>
              <w:spacing w:after="0" w:line="256" w:lineRule="auto"/>
              <w:contextualSpacing/>
              <w:jc w:val="both"/>
              <w:rPr>
                <w:rFonts w:eastAsia="Times New Roman" w:cs="Times New Roman"/>
                <w:sz w:val="20"/>
                <w:szCs w:val="20"/>
              </w:rPr>
            </w:pPr>
            <w:r w:rsidRPr="00591F67">
              <w:rPr>
                <w:rFonts w:eastAsia="Times New Roman" w:cs="Times New Roman"/>
                <w:sz w:val="20"/>
                <w:szCs w:val="20"/>
              </w:rPr>
              <w:t>Długość: 74m (±0.5%)</w:t>
            </w:r>
          </w:p>
          <w:p w14:paraId="07F192E2" w14:textId="77777777" w:rsidR="003F012A" w:rsidRPr="00591F67" w:rsidRDefault="003F012A" w:rsidP="003F012A">
            <w:pPr>
              <w:numPr>
                <w:ilvl w:val="0"/>
                <w:numId w:val="10"/>
              </w:numPr>
              <w:spacing w:after="0" w:line="256" w:lineRule="auto"/>
              <w:contextualSpacing/>
              <w:jc w:val="both"/>
              <w:rPr>
                <w:rFonts w:eastAsia="Times New Roman" w:cs="Times New Roman"/>
                <w:sz w:val="20"/>
                <w:szCs w:val="20"/>
              </w:rPr>
            </w:pPr>
            <w:r w:rsidRPr="00591F67">
              <w:rPr>
                <w:rFonts w:eastAsia="Times New Roman" w:cs="Times New Roman"/>
                <w:sz w:val="20"/>
                <w:szCs w:val="20"/>
              </w:rPr>
              <w:t>Szerokość: 57mm (+0.0/-1.0mm)</w:t>
            </w:r>
          </w:p>
          <w:p w14:paraId="599C8C71" w14:textId="77777777" w:rsidR="003F012A" w:rsidRPr="00591F67" w:rsidRDefault="003F012A" w:rsidP="003F012A">
            <w:pPr>
              <w:numPr>
                <w:ilvl w:val="0"/>
                <w:numId w:val="10"/>
              </w:numPr>
              <w:spacing w:after="0" w:line="256" w:lineRule="auto"/>
              <w:contextualSpacing/>
              <w:jc w:val="both"/>
              <w:rPr>
                <w:rFonts w:eastAsia="Times New Roman" w:cs="Times New Roman"/>
                <w:sz w:val="20"/>
                <w:szCs w:val="20"/>
              </w:rPr>
            </w:pPr>
            <w:r w:rsidRPr="00591F67">
              <w:rPr>
                <w:rFonts w:eastAsia="Times New Roman" w:cs="Times New Roman"/>
                <w:sz w:val="20"/>
                <w:szCs w:val="20"/>
              </w:rPr>
              <w:t>Do etykiet z warstwą laminującą stosowanych w barwieniach immunohistochemicznych</w:t>
            </w:r>
          </w:p>
        </w:tc>
        <w:tc>
          <w:tcPr>
            <w:tcW w:w="706" w:type="pct"/>
            <w:tcBorders>
              <w:top w:val="single" w:sz="4" w:space="0" w:color="auto"/>
              <w:left w:val="single" w:sz="4" w:space="0" w:color="auto"/>
              <w:bottom w:val="single" w:sz="4" w:space="0" w:color="auto"/>
              <w:right w:val="single" w:sz="4" w:space="0" w:color="auto"/>
            </w:tcBorders>
            <w:vAlign w:val="center"/>
            <w:hideMark/>
          </w:tcPr>
          <w:p w14:paraId="65C4A88F" w14:textId="77777777" w:rsidR="003F012A" w:rsidRPr="002901C0" w:rsidRDefault="003F012A" w:rsidP="00183676">
            <w:pPr>
              <w:spacing w:after="0" w:line="256" w:lineRule="auto"/>
              <w:jc w:val="center"/>
              <w:rPr>
                <w:rFonts w:eastAsia="Times New Roman" w:cs="Times New Roman"/>
                <w:sz w:val="20"/>
                <w:szCs w:val="20"/>
              </w:rPr>
            </w:pPr>
            <w:r w:rsidRPr="002901C0">
              <w:rPr>
                <w:rFonts w:eastAsia="Times New Roman" w:cs="Times New Roman"/>
                <w:sz w:val="20"/>
                <w:szCs w:val="20"/>
              </w:rPr>
              <w:t>tak – oraz podać model, producenta</w:t>
            </w:r>
          </w:p>
        </w:tc>
        <w:tc>
          <w:tcPr>
            <w:tcW w:w="1062" w:type="pct"/>
            <w:tcBorders>
              <w:top w:val="single" w:sz="4" w:space="0" w:color="auto"/>
              <w:left w:val="single" w:sz="4" w:space="0" w:color="auto"/>
              <w:bottom w:val="single" w:sz="4" w:space="0" w:color="auto"/>
              <w:right w:val="single" w:sz="4" w:space="0" w:color="auto"/>
            </w:tcBorders>
          </w:tcPr>
          <w:p w14:paraId="44836A2A" w14:textId="77777777" w:rsidR="003F012A" w:rsidRPr="002901C0" w:rsidRDefault="003F012A" w:rsidP="00183676">
            <w:pPr>
              <w:spacing w:after="0" w:line="256" w:lineRule="auto"/>
              <w:jc w:val="center"/>
              <w:rPr>
                <w:rFonts w:eastAsia="Times New Roman" w:cs="Times New Roman"/>
                <w:strike/>
                <w:sz w:val="20"/>
                <w:szCs w:val="20"/>
              </w:rPr>
            </w:pPr>
          </w:p>
        </w:tc>
      </w:tr>
    </w:tbl>
    <w:p w14:paraId="2D265AF8" w14:textId="77777777" w:rsidR="003F012A" w:rsidRPr="002901C0" w:rsidRDefault="003F012A" w:rsidP="003F012A">
      <w:pPr>
        <w:pStyle w:val="Nagwek1"/>
        <w:numPr>
          <w:ilvl w:val="0"/>
          <w:numId w:val="11"/>
        </w:numPr>
        <w:rPr>
          <w:rFonts w:asciiTheme="minorHAnsi" w:eastAsia="Times New Roman" w:hAnsiTheme="minorHAnsi"/>
          <w:color w:val="auto"/>
          <w:sz w:val="20"/>
          <w:szCs w:val="20"/>
          <w:lang w:eastAsia="pl-PL"/>
        </w:rPr>
      </w:pPr>
      <w:r w:rsidRPr="002901C0">
        <w:rPr>
          <w:rFonts w:asciiTheme="minorHAnsi" w:eastAsia="Times New Roman" w:hAnsiTheme="minorHAnsi"/>
          <w:color w:val="auto"/>
          <w:sz w:val="20"/>
          <w:szCs w:val="20"/>
          <w:lang w:eastAsia="pl-PL"/>
        </w:rPr>
        <w:lastRenderedPageBreak/>
        <w:t xml:space="preserve"> Integracja.</w:t>
      </w:r>
    </w:p>
    <w:p w14:paraId="337CB363" w14:textId="77777777" w:rsidR="003F012A" w:rsidRPr="002901C0" w:rsidRDefault="003F012A" w:rsidP="00482AB5">
      <w:pPr>
        <w:jc w:val="center"/>
        <w:rPr>
          <w:rFonts w:cs="Times New Roman"/>
          <w:b/>
          <w:bCs/>
          <w:sz w:val="20"/>
          <w:szCs w:val="20"/>
        </w:rPr>
      </w:pPr>
      <w:r w:rsidRPr="002901C0">
        <w:rPr>
          <w:rFonts w:cs="Times New Roman"/>
          <w:b/>
          <w:bCs/>
          <w:sz w:val="20"/>
          <w:szCs w:val="20"/>
        </w:rPr>
        <w:t>INTEGRACJA Z SYSTEMEM AMMS:</w:t>
      </w:r>
    </w:p>
    <w:p w14:paraId="1807C83F" w14:textId="5A782A10" w:rsidR="003F012A" w:rsidRPr="00800C02" w:rsidRDefault="003F012A" w:rsidP="003F012A">
      <w:pPr>
        <w:pStyle w:val="Nagwek1"/>
        <w:numPr>
          <w:ilvl w:val="0"/>
          <w:numId w:val="12"/>
        </w:numPr>
        <w:tabs>
          <w:tab w:val="num" w:pos="720"/>
        </w:tabs>
        <w:ind w:left="720"/>
        <w:jc w:val="both"/>
        <w:rPr>
          <w:rFonts w:asciiTheme="minorHAnsi" w:hAnsiTheme="minorHAnsi" w:cs="Times New Roman"/>
          <w:color w:val="auto"/>
          <w:sz w:val="20"/>
          <w:szCs w:val="20"/>
        </w:rPr>
      </w:pPr>
      <w:bookmarkStart w:id="37" w:name="_Toc202087193"/>
      <w:r w:rsidRPr="002901C0">
        <w:rPr>
          <w:rFonts w:asciiTheme="minorHAnsi" w:hAnsiTheme="minorHAnsi" w:cs="Times New Roman"/>
          <w:color w:val="auto"/>
          <w:sz w:val="20"/>
          <w:szCs w:val="20"/>
        </w:rPr>
        <w:t>Integracja ze Szpitalnym Systemem Informatycznym HIS i EDM – wymagania ogólne</w:t>
      </w:r>
      <w:bookmarkEnd w:id="37"/>
    </w:p>
    <w:p w14:paraId="7D99DA5F" w14:textId="77777777" w:rsidR="003F012A" w:rsidRPr="002901C0" w:rsidRDefault="003F012A" w:rsidP="003F012A">
      <w:pPr>
        <w:pStyle w:val="Akapitzlist"/>
        <w:numPr>
          <w:ilvl w:val="1"/>
          <w:numId w:val="12"/>
        </w:numPr>
        <w:spacing w:after="120" w:line="276" w:lineRule="auto"/>
        <w:ind w:left="426"/>
        <w:jc w:val="both"/>
        <w:rPr>
          <w:sz w:val="20"/>
          <w:szCs w:val="20"/>
        </w:rPr>
      </w:pPr>
      <w:r w:rsidRPr="002901C0">
        <w:rPr>
          <w:sz w:val="20"/>
          <w:szCs w:val="20"/>
        </w:rPr>
        <w:t xml:space="preserve">Wykonawca zobowiązany jest we współpracy z Zamawiającym i Producentem systemu HIS do wykonania integracji oferowanego systemu wraz z wdrożeniem z Szpitalnym Systemem Informatycznym HIS oraz modułem Elektronicznej Dokumentacji Medycznej posiadanymi przez Zamawiającego.  </w:t>
      </w:r>
    </w:p>
    <w:p w14:paraId="125B6547" w14:textId="77777777" w:rsidR="003F012A" w:rsidRPr="002901C0" w:rsidRDefault="003F012A" w:rsidP="003F012A">
      <w:pPr>
        <w:pStyle w:val="Akapitzlist"/>
        <w:numPr>
          <w:ilvl w:val="1"/>
          <w:numId w:val="12"/>
        </w:numPr>
        <w:spacing w:after="120" w:line="276" w:lineRule="auto"/>
        <w:ind w:left="426"/>
        <w:jc w:val="both"/>
        <w:rPr>
          <w:sz w:val="20"/>
          <w:szCs w:val="20"/>
        </w:rPr>
      </w:pPr>
      <w:r w:rsidRPr="002901C0">
        <w:rPr>
          <w:sz w:val="20"/>
          <w:szCs w:val="20"/>
        </w:rPr>
        <w:t>Wykonawca dostarczy wszystkie niezbędne do integracji licencje wraz z 24 miesięcznym nadzorem autorskim.</w:t>
      </w:r>
    </w:p>
    <w:p w14:paraId="57490485" w14:textId="77777777" w:rsidR="003F012A" w:rsidRPr="002901C0" w:rsidRDefault="003F012A" w:rsidP="003F012A">
      <w:pPr>
        <w:pStyle w:val="Akapitzlist"/>
        <w:numPr>
          <w:ilvl w:val="1"/>
          <w:numId w:val="12"/>
        </w:numPr>
        <w:spacing w:after="120" w:line="276" w:lineRule="auto"/>
        <w:ind w:left="426"/>
        <w:jc w:val="both"/>
        <w:rPr>
          <w:sz w:val="20"/>
          <w:szCs w:val="20"/>
        </w:rPr>
      </w:pPr>
      <w:r w:rsidRPr="002901C0">
        <w:rPr>
          <w:sz w:val="20"/>
          <w:szCs w:val="20"/>
        </w:rPr>
        <w:t>Wszelkie koszty związane z dostawą licencji integracji, wdrożeniem i integracją oferowanego oprogramowania z HIS i EDM ponosi Wykonawca.  Wykonawca pokrywa również koszty leżące po stronie oferowanego systemu.</w:t>
      </w:r>
    </w:p>
    <w:p w14:paraId="44014D84" w14:textId="60C41E0C" w:rsidR="003F012A" w:rsidRPr="00800C02" w:rsidRDefault="003F012A" w:rsidP="003F012A">
      <w:pPr>
        <w:pStyle w:val="Nagwek1"/>
        <w:numPr>
          <w:ilvl w:val="0"/>
          <w:numId w:val="12"/>
        </w:numPr>
        <w:tabs>
          <w:tab w:val="num" w:pos="720"/>
        </w:tabs>
        <w:ind w:left="720"/>
        <w:jc w:val="both"/>
        <w:rPr>
          <w:rFonts w:asciiTheme="minorHAnsi" w:hAnsiTheme="minorHAnsi" w:cs="Times New Roman"/>
          <w:color w:val="auto"/>
          <w:sz w:val="20"/>
          <w:szCs w:val="20"/>
        </w:rPr>
      </w:pPr>
      <w:bookmarkStart w:id="38" w:name="_Toc202087194"/>
      <w:r w:rsidRPr="002901C0">
        <w:rPr>
          <w:rFonts w:asciiTheme="minorHAnsi" w:hAnsiTheme="minorHAnsi" w:cs="Times New Roman"/>
          <w:color w:val="auto"/>
          <w:sz w:val="20"/>
          <w:szCs w:val="20"/>
        </w:rPr>
        <w:t>Minimalny zakres integracji</w:t>
      </w:r>
      <w:bookmarkEnd w:id="38"/>
    </w:p>
    <w:p w14:paraId="0107A2D0" w14:textId="77777777" w:rsidR="003F012A" w:rsidRPr="002901C0" w:rsidRDefault="003F012A" w:rsidP="003F012A">
      <w:pPr>
        <w:pStyle w:val="Akapitzlist"/>
        <w:numPr>
          <w:ilvl w:val="1"/>
          <w:numId w:val="12"/>
        </w:numPr>
        <w:spacing w:after="120" w:line="276" w:lineRule="auto"/>
        <w:ind w:left="426"/>
        <w:jc w:val="both"/>
        <w:rPr>
          <w:rFonts w:cs="Times New Roman"/>
          <w:sz w:val="20"/>
          <w:szCs w:val="20"/>
        </w:rPr>
      </w:pPr>
      <w:r w:rsidRPr="002901C0">
        <w:rPr>
          <w:rFonts w:cs="Times New Roman"/>
          <w:sz w:val="20"/>
          <w:szCs w:val="20"/>
        </w:rPr>
        <w:t>Dane osobowe pacjenta (kierunek HIS-&gt;LIS), tzw. komunikaty ADT w zakresie: zmiany danych pacjenta i scalania kartotek pacjentów.</w:t>
      </w:r>
    </w:p>
    <w:p w14:paraId="1CFDC195" w14:textId="77777777" w:rsidR="003F012A" w:rsidRPr="002901C0" w:rsidRDefault="003F012A" w:rsidP="003F012A">
      <w:pPr>
        <w:pStyle w:val="Akapitzlist"/>
        <w:numPr>
          <w:ilvl w:val="1"/>
          <w:numId w:val="12"/>
        </w:numPr>
        <w:spacing w:after="120" w:line="276" w:lineRule="auto"/>
        <w:ind w:left="426"/>
        <w:jc w:val="both"/>
        <w:rPr>
          <w:rFonts w:cs="Times New Roman"/>
          <w:sz w:val="20"/>
          <w:szCs w:val="20"/>
        </w:rPr>
      </w:pPr>
      <w:r w:rsidRPr="002901C0">
        <w:rPr>
          <w:rFonts w:cs="Times New Roman"/>
          <w:sz w:val="20"/>
          <w:szCs w:val="20"/>
        </w:rPr>
        <w:t>Obsługa zleceń/wyników zarówno z oddziału jak i w trybie ambulatoryjnym</w:t>
      </w:r>
    </w:p>
    <w:p w14:paraId="4DF83790" w14:textId="77777777" w:rsidR="003F012A" w:rsidRPr="002901C0" w:rsidRDefault="003F012A" w:rsidP="003F012A">
      <w:pPr>
        <w:pStyle w:val="Akapitzlist"/>
        <w:numPr>
          <w:ilvl w:val="1"/>
          <w:numId w:val="12"/>
        </w:numPr>
        <w:spacing w:after="120" w:line="276" w:lineRule="auto"/>
        <w:ind w:left="426"/>
        <w:jc w:val="both"/>
        <w:rPr>
          <w:rFonts w:cs="Times New Roman"/>
          <w:sz w:val="20"/>
          <w:szCs w:val="20"/>
        </w:rPr>
      </w:pPr>
      <w:r w:rsidRPr="002901C0">
        <w:rPr>
          <w:rFonts w:cs="Times New Roman"/>
          <w:sz w:val="20"/>
          <w:szCs w:val="20"/>
        </w:rPr>
        <w:t>Wysyłka wyników badań wykonanych w LIS</w:t>
      </w:r>
    </w:p>
    <w:p w14:paraId="46786AC3" w14:textId="77777777" w:rsidR="003F012A" w:rsidRPr="002901C0" w:rsidRDefault="003F012A" w:rsidP="003F012A">
      <w:pPr>
        <w:pStyle w:val="Akapitzlist"/>
        <w:numPr>
          <w:ilvl w:val="1"/>
          <w:numId w:val="12"/>
        </w:numPr>
        <w:spacing w:after="120" w:line="276" w:lineRule="auto"/>
        <w:ind w:left="426"/>
        <w:jc w:val="both"/>
        <w:rPr>
          <w:rFonts w:cs="Times New Roman"/>
          <w:sz w:val="20"/>
          <w:szCs w:val="20"/>
        </w:rPr>
      </w:pPr>
      <w:r w:rsidRPr="002901C0">
        <w:rPr>
          <w:rFonts w:cs="Times New Roman"/>
          <w:sz w:val="20"/>
          <w:szCs w:val="20"/>
        </w:rPr>
        <w:t>Wielowątkowy interfejs HL7 do obsługi zleceń z HIS</w:t>
      </w:r>
    </w:p>
    <w:p w14:paraId="14A49C1A" w14:textId="77777777" w:rsidR="003F012A" w:rsidRPr="002901C0" w:rsidRDefault="003F012A" w:rsidP="003F012A">
      <w:pPr>
        <w:pStyle w:val="Akapitzlist"/>
        <w:numPr>
          <w:ilvl w:val="1"/>
          <w:numId w:val="12"/>
        </w:numPr>
        <w:spacing w:after="120" w:line="276" w:lineRule="auto"/>
        <w:ind w:left="426"/>
        <w:jc w:val="both"/>
        <w:rPr>
          <w:rFonts w:cs="Times New Roman"/>
          <w:sz w:val="20"/>
          <w:szCs w:val="20"/>
        </w:rPr>
      </w:pPr>
      <w:r w:rsidRPr="002901C0">
        <w:rPr>
          <w:rFonts w:cs="Times New Roman"/>
          <w:sz w:val="20"/>
          <w:szCs w:val="20"/>
        </w:rPr>
        <w:t>Automatyczna synchronizacja słowników wykorzystywanych przez oba systemy w kierunku HIS -&gt; LIS.</w:t>
      </w:r>
    </w:p>
    <w:p w14:paraId="0A053C15" w14:textId="77777777" w:rsidR="003F012A" w:rsidRPr="002901C0" w:rsidRDefault="003F012A" w:rsidP="003F012A">
      <w:pPr>
        <w:pStyle w:val="Akapitzlist"/>
        <w:numPr>
          <w:ilvl w:val="1"/>
          <w:numId w:val="12"/>
        </w:numPr>
        <w:spacing w:after="120" w:line="276" w:lineRule="auto"/>
        <w:ind w:left="426"/>
        <w:jc w:val="both"/>
        <w:rPr>
          <w:rFonts w:cs="Times New Roman"/>
          <w:sz w:val="20"/>
          <w:szCs w:val="20"/>
        </w:rPr>
      </w:pPr>
      <w:r w:rsidRPr="002901C0">
        <w:rPr>
          <w:rFonts w:cs="Times New Roman"/>
          <w:sz w:val="20"/>
          <w:szCs w:val="20"/>
        </w:rPr>
        <w:t>Zamawiający oczekuje następujących funkcjonalności dotyczący dostępu do wyników z systemu HIS:</w:t>
      </w:r>
    </w:p>
    <w:p w14:paraId="05DEB2AC" w14:textId="77777777" w:rsidR="003F012A" w:rsidRPr="002901C0" w:rsidRDefault="003F012A" w:rsidP="003F012A">
      <w:pPr>
        <w:pStyle w:val="Akapitzlist"/>
        <w:numPr>
          <w:ilvl w:val="2"/>
          <w:numId w:val="12"/>
        </w:numPr>
        <w:spacing w:after="120" w:line="276" w:lineRule="auto"/>
        <w:jc w:val="both"/>
        <w:rPr>
          <w:rFonts w:cs="Times New Roman"/>
          <w:sz w:val="20"/>
          <w:szCs w:val="20"/>
        </w:rPr>
      </w:pPr>
      <w:r w:rsidRPr="002901C0">
        <w:rPr>
          <w:rFonts w:cs="Times New Roman"/>
          <w:sz w:val="20"/>
          <w:szCs w:val="20"/>
        </w:rPr>
        <w:t>dostęp w formie online; niedopuszczalne jest składowanie wyników z HIS w systemie LIS;</w:t>
      </w:r>
    </w:p>
    <w:p w14:paraId="4B791712" w14:textId="77777777" w:rsidR="003F012A" w:rsidRPr="002901C0" w:rsidRDefault="003F012A" w:rsidP="003F012A">
      <w:pPr>
        <w:pStyle w:val="Akapitzlist"/>
        <w:numPr>
          <w:ilvl w:val="2"/>
          <w:numId w:val="12"/>
        </w:numPr>
        <w:spacing w:after="120" w:line="276" w:lineRule="auto"/>
        <w:jc w:val="both"/>
        <w:rPr>
          <w:rFonts w:cs="Times New Roman"/>
          <w:sz w:val="20"/>
          <w:szCs w:val="20"/>
        </w:rPr>
      </w:pPr>
      <w:r w:rsidRPr="002901C0">
        <w:rPr>
          <w:rFonts w:cs="Times New Roman"/>
          <w:sz w:val="20"/>
          <w:szCs w:val="20"/>
        </w:rPr>
        <w:t>dostęp do badań z poziomu systemu LIS na podstawie numeru identyfikacyjnego pacjenta w systemie HIS;</w:t>
      </w:r>
    </w:p>
    <w:p w14:paraId="7F76FC48" w14:textId="77777777" w:rsidR="003F012A" w:rsidRPr="002901C0" w:rsidRDefault="003F012A" w:rsidP="003F012A">
      <w:pPr>
        <w:pStyle w:val="Akapitzlist"/>
        <w:numPr>
          <w:ilvl w:val="2"/>
          <w:numId w:val="12"/>
        </w:numPr>
        <w:spacing w:after="120" w:line="276" w:lineRule="auto"/>
        <w:jc w:val="both"/>
        <w:rPr>
          <w:rFonts w:cs="Times New Roman"/>
          <w:sz w:val="20"/>
          <w:szCs w:val="20"/>
        </w:rPr>
      </w:pPr>
      <w:r w:rsidRPr="002901C0">
        <w:rPr>
          <w:rFonts w:cs="Times New Roman"/>
          <w:sz w:val="20"/>
          <w:szCs w:val="20"/>
        </w:rPr>
        <w:t>dostęp do chronologicznej listy pobytów pacjenta w systemie HIS;</w:t>
      </w:r>
    </w:p>
    <w:p w14:paraId="12B941D5" w14:textId="77777777" w:rsidR="003F012A" w:rsidRPr="002901C0" w:rsidRDefault="003F012A" w:rsidP="003F012A">
      <w:pPr>
        <w:pStyle w:val="Akapitzlist"/>
        <w:numPr>
          <w:ilvl w:val="2"/>
          <w:numId w:val="12"/>
        </w:numPr>
        <w:spacing w:after="120" w:line="276" w:lineRule="auto"/>
        <w:jc w:val="both"/>
        <w:rPr>
          <w:rFonts w:cs="Times New Roman"/>
          <w:sz w:val="20"/>
          <w:szCs w:val="20"/>
        </w:rPr>
      </w:pPr>
      <w:r w:rsidRPr="002901C0">
        <w:rPr>
          <w:rFonts w:cs="Times New Roman"/>
          <w:sz w:val="20"/>
          <w:szCs w:val="20"/>
        </w:rPr>
        <w:t>wyświetlanie w LIS wykonanych badań pacjenta chronologicznie w kontekście wybranego pobytu, zawierających następujące dane:</w:t>
      </w:r>
    </w:p>
    <w:p w14:paraId="681F3C9A" w14:textId="77777777" w:rsidR="003F012A" w:rsidRPr="002901C0" w:rsidRDefault="003F012A" w:rsidP="003F012A">
      <w:pPr>
        <w:pStyle w:val="Akapitzlist"/>
        <w:numPr>
          <w:ilvl w:val="3"/>
          <w:numId w:val="12"/>
        </w:numPr>
        <w:spacing w:after="120" w:line="276" w:lineRule="auto"/>
        <w:jc w:val="both"/>
        <w:rPr>
          <w:rFonts w:cs="Times New Roman"/>
          <w:sz w:val="20"/>
          <w:szCs w:val="20"/>
        </w:rPr>
      </w:pPr>
      <w:r w:rsidRPr="002901C0">
        <w:rPr>
          <w:rFonts w:cs="Times New Roman"/>
          <w:sz w:val="20"/>
          <w:szCs w:val="20"/>
        </w:rPr>
        <w:t>rodzaj wykonanego badania;</w:t>
      </w:r>
    </w:p>
    <w:p w14:paraId="1164D0F1" w14:textId="77777777" w:rsidR="003F012A" w:rsidRPr="002901C0" w:rsidRDefault="003F012A" w:rsidP="003F012A">
      <w:pPr>
        <w:pStyle w:val="Akapitzlist"/>
        <w:numPr>
          <w:ilvl w:val="3"/>
          <w:numId w:val="12"/>
        </w:numPr>
        <w:spacing w:after="120" w:line="276" w:lineRule="auto"/>
        <w:jc w:val="both"/>
        <w:rPr>
          <w:rFonts w:cs="Times New Roman"/>
          <w:sz w:val="20"/>
          <w:szCs w:val="20"/>
        </w:rPr>
      </w:pPr>
      <w:r w:rsidRPr="002901C0">
        <w:rPr>
          <w:rFonts w:cs="Times New Roman"/>
          <w:sz w:val="20"/>
          <w:szCs w:val="20"/>
        </w:rPr>
        <w:t>status badania (np. zlecone / wykonane / anulowane);</w:t>
      </w:r>
    </w:p>
    <w:p w14:paraId="63B05DBA" w14:textId="77777777" w:rsidR="003F012A" w:rsidRPr="002901C0" w:rsidRDefault="003F012A" w:rsidP="003F012A">
      <w:pPr>
        <w:pStyle w:val="Akapitzlist"/>
        <w:numPr>
          <w:ilvl w:val="3"/>
          <w:numId w:val="12"/>
        </w:numPr>
        <w:spacing w:after="120" w:line="276" w:lineRule="auto"/>
        <w:jc w:val="both"/>
        <w:rPr>
          <w:rFonts w:cs="Times New Roman"/>
          <w:sz w:val="20"/>
          <w:szCs w:val="20"/>
        </w:rPr>
      </w:pPr>
      <w:r w:rsidRPr="002901C0">
        <w:rPr>
          <w:rFonts w:cs="Times New Roman"/>
          <w:sz w:val="20"/>
          <w:szCs w:val="20"/>
        </w:rPr>
        <w:t>data zlecenia;</w:t>
      </w:r>
    </w:p>
    <w:p w14:paraId="0008A0E9" w14:textId="77777777" w:rsidR="003F012A" w:rsidRPr="002901C0" w:rsidRDefault="003F012A" w:rsidP="003F012A">
      <w:pPr>
        <w:pStyle w:val="Akapitzlist"/>
        <w:numPr>
          <w:ilvl w:val="3"/>
          <w:numId w:val="12"/>
        </w:numPr>
        <w:spacing w:after="120" w:line="276" w:lineRule="auto"/>
        <w:jc w:val="both"/>
        <w:rPr>
          <w:rFonts w:cs="Times New Roman"/>
          <w:sz w:val="20"/>
          <w:szCs w:val="20"/>
        </w:rPr>
      </w:pPr>
      <w:r w:rsidRPr="002901C0">
        <w:rPr>
          <w:rFonts w:cs="Times New Roman"/>
          <w:sz w:val="20"/>
          <w:szCs w:val="20"/>
        </w:rPr>
        <w:t>data wykonania;</w:t>
      </w:r>
    </w:p>
    <w:p w14:paraId="6611B32E" w14:textId="77777777" w:rsidR="003F012A" w:rsidRPr="002901C0" w:rsidRDefault="003F012A" w:rsidP="003F012A">
      <w:pPr>
        <w:pStyle w:val="Akapitzlist"/>
        <w:numPr>
          <w:ilvl w:val="3"/>
          <w:numId w:val="12"/>
        </w:numPr>
        <w:spacing w:after="120" w:line="276" w:lineRule="auto"/>
        <w:jc w:val="both"/>
        <w:rPr>
          <w:rFonts w:cs="Times New Roman"/>
          <w:sz w:val="20"/>
          <w:szCs w:val="20"/>
        </w:rPr>
      </w:pPr>
      <w:r w:rsidRPr="002901C0">
        <w:rPr>
          <w:rFonts w:cs="Times New Roman"/>
          <w:sz w:val="20"/>
          <w:szCs w:val="20"/>
        </w:rPr>
        <w:t>opis tekstowy badania – w przypadku badania zawierającego opis tekstowy;</w:t>
      </w:r>
    </w:p>
    <w:p w14:paraId="5013CFD1" w14:textId="77777777" w:rsidR="003F012A" w:rsidRPr="002901C0" w:rsidRDefault="003F012A" w:rsidP="003F012A">
      <w:pPr>
        <w:pStyle w:val="Akapitzlist"/>
        <w:numPr>
          <w:ilvl w:val="3"/>
          <w:numId w:val="12"/>
        </w:numPr>
        <w:spacing w:after="120" w:line="276" w:lineRule="auto"/>
        <w:jc w:val="both"/>
        <w:rPr>
          <w:rFonts w:cs="Times New Roman"/>
          <w:sz w:val="20"/>
          <w:szCs w:val="20"/>
        </w:rPr>
      </w:pPr>
      <w:r w:rsidRPr="002901C0">
        <w:rPr>
          <w:rFonts w:cs="Times New Roman"/>
          <w:sz w:val="20"/>
          <w:szCs w:val="20"/>
        </w:rPr>
        <w:t>wynik pomiaru wraz z jednostką i zakresem referencyjnym – w przypadku badań analitycznych;</w:t>
      </w:r>
    </w:p>
    <w:p w14:paraId="23185FD1" w14:textId="77777777" w:rsidR="003F012A" w:rsidRPr="002901C0" w:rsidRDefault="003F012A" w:rsidP="003F012A">
      <w:pPr>
        <w:pStyle w:val="Akapitzlist"/>
        <w:numPr>
          <w:ilvl w:val="3"/>
          <w:numId w:val="12"/>
        </w:numPr>
        <w:spacing w:after="120" w:line="276" w:lineRule="auto"/>
        <w:jc w:val="both"/>
        <w:rPr>
          <w:rFonts w:cs="Times New Roman"/>
          <w:sz w:val="20"/>
          <w:szCs w:val="20"/>
        </w:rPr>
      </w:pPr>
      <w:r w:rsidRPr="002901C0">
        <w:rPr>
          <w:rFonts w:cs="Times New Roman"/>
          <w:sz w:val="20"/>
          <w:szCs w:val="20"/>
        </w:rPr>
        <w:t>dane osób uczestniczących w wykonaniu badania.</w:t>
      </w:r>
      <w:r w:rsidRPr="002901C0">
        <w:rPr>
          <w:rFonts w:cs="Times New Roman"/>
          <w:sz w:val="20"/>
          <w:szCs w:val="20"/>
        </w:rPr>
        <w:br w:type="page"/>
      </w:r>
    </w:p>
    <w:p w14:paraId="7203733B" w14:textId="0BF4AD5E" w:rsidR="003F012A" w:rsidRPr="00800C02" w:rsidRDefault="003F012A" w:rsidP="003F012A">
      <w:pPr>
        <w:pStyle w:val="Nagwek1"/>
        <w:numPr>
          <w:ilvl w:val="0"/>
          <w:numId w:val="12"/>
        </w:numPr>
        <w:tabs>
          <w:tab w:val="num" w:pos="720"/>
        </w:tabs>
        <w:ind w:left="720"/>
        <w:jc w:val="both"/>
        <w:rPr>
          <w:rFonts w:asciiTheme="minorHAnsi" w:hAnsiTheme="minorHAnsi" w:cs="Times New Roman"/>
          <w:color w:val="auto"/>
          <w:sz w:val="20"/>
          <w:szCs w:val="20"/>
        </w:rPr>
      </w:pPr>
      <w:bookmarkStart w:id="39" w:name="_Toc202087195"/>
      <w:r w:rsidRPr="002901C0">
        <w:rPr>
          <w:rFonts w:asciiTheme="minorHAnsi" w:hAnsiTheme="minorHAnsi" w:cs="Times New Roman"/>
          <w:color w:val="auto"/>
          <w:sz w:val="20"/>
          <w:szCs w:val="20"/>
        </w:rPr>
        <w:lastRenderedPageBreak/>
        <w:t>Zlecenia przychodzące (HIS-&gt;LIS) zawierają dane</w:t>
      </w:r>
      <w:bookmarkEnd w:id="39"/>
    </w:p>
    <w:p w14:paraId="09689858" w14:textId="77777777" w:rsidR="003F012A" w:rsidRPr="002901C0" w:rsidRDefault="003F012A" w:rsidP="003F012A">
      <w:pPr>
        <w:pStyle w:val="Akapitzlist"/>
        <w:numPr>
          <w:ilvl w:val="1"/>
          <w:numId w:val="12"/>
        </w:numPr>
        <w:spacing w:after="120" w:line="276" w:lineRule="auto"/>
        <w:ind w:left="426"/>
        <w:jc w:val="both"/>
        <w:rPr>
          <w:rFonts w:cs="Times New Roman"/>
          <w:sz w:val="20"/>
          <w:szCs w:val="20"/>
        </w:rPr>
      </w:pPr>
      <w:r w:rsidRPr="002901C0">
        <w:rPr>
          <w:rFonts w:cs="Times New Roman"/>
          <w:sz w:val="20"/>
          <w:szCs w:val="20"/>
        </w:rPr>
        <w:t>identyfikator pacjenta w systemie HIS,</w:t>
      </w:r>
    </w:p>
    <w:p w14:paraId="0CA92FD4" w14:textId="77777777" w:rsidR="003F012A" w:rsidRPr="002901C0" w:rsidRDefault="003F012A" w:rsidP="003F012A">
      <w:pPr>
        <w:pStyle w:val="Akapitzlist"/>
        <w:numPr>
          <w:ilvl w:val="1"/>
          <w:numId w:val="12"/>
        </w:numPr>
        <w:spacing w:after="120" w:line="276" w:lineRule="auto"/>
        <w:ind w:left="426"/>
        <w:jc w:val="both"/>
        <w:rPr>
          <w:rFonts w:cs="Times New Roman"/>
          <w:sz w:val="20"/>
          <w:szCs w:val="20"/>
        </w:rPr>
      </w:pPr>
      <w:r w:rsidRPr="002901C0">
        <w:rPr>
          <w:rFonts w:cs="Times New Roman"/>
          <w:sz w:val="20"/>
          <w:szCs w:val="20"/>
        </w:rPr>
        <w:t>numer badania z systemu HIS,</w:t>
      </w:r>
    </w:p>
    <w:p w14:paraId="519C92E9" w14:textId="77777777" w:rsidR="003F012A" w:rsidRPr="002901C0" w:rsidRDefault="003F012A" w:rsidP="003F012A">
      <w:pPr>
        <w:pStyle w:val="Akapitzlist"/>
        <w:numPr>
          <w:ilvl w:val="1"/>
          <w:numId w:val="12"/>
        </w:numPr>
        <w:spacing w:after="120" w:line="276" w:lineRule="auto"/>
        <w:ind w:left="426"/>
        <w:jc w:val="both"/>
        <w:rPr>
          <w:rFonts w:cs="Times New Roman"/>
          <w:sz w:val="20"/>
          <w:szCs w:val="20"/>
        </w:rPr>
      </w:pPr>
      <w:r w:rsidRPr="002901C0">
        <w:rPr>
          <w:rFonts w:cs="Times New Roman"/>
          <w:sz w:val="20"/>
          <w:szCs w:val="20"/>
        </w:rPr>
        <w:t>numer zlecenia z systemu HIS,</w:t>
      </w:r>
    </w:p>
    <w:p w14:paraId="7EBCC5A3" w14:textId="77777777" w:rsidR="003F012A" w:rsidRPr="002901C0" w:rsidRDefault="003F012A" w:rsidP="003F012A">
      <w:pPr>
        <w:pStyle w:val="Akapitzlist"/>
        <w:numPr>
          <w:ilvl w:val="1"/>
          <w:numId w:val="12"/>
        </w:numPr>
        <w:spacing w:after="120" w:line="276" w:lineRule="auto"/>
        <w:ind w:left="426"/>
        <w:jc w:val="both"/>
        <w:rPr>
          <w:rFonts w:cs="Times New Roman"/>
          <w:sz w:val="20"/>
          <w:szCs w:val="20"/>
        </w:rPr>
      </w:pPr>
      <w:r w:rsidRPr="002901C0">
        <w:rPr>
          <w:rFonts w:cs="Times New Roman"/>
          <w:sz w:val="20"/>
          <w:szCs w:val="20"/>
        </w:rPr>
        <w:t>imię, nazwisko pacjenta,</w:t>
      </w:r>
    </w:p>
    <w:p w14:paraId="2AF70BFB" w14:textId="77777777" w:rsidR="003F012A" w:rsidRPr="002901C0" w:rsidRDefault="003F012A" w:rsidP="003F012A">
      <w:pPr>
        <w:pStyle w:val="Akapitzlist"/>
        <w:numPr>
          <w:ilvl w:val="1"/>
          <w:numId w:val="12"/>
        </w:numPr>
        <w:spacing w:after="120" w:line="276" w:lineRule="auto"/>
        <w:ind w:left="426"/>
        <w:jc w:val="both"/>
        <w:rPr>
          <w:rFonts w:cs="Times New Roman"/>
          <w:sz w:val="20"/>
          <w:szCs w:val="20"/>
        </w:rPr>
      </w:pPr>
      <w:r w:rsidRPr="002901C0">
        <w:rPr>
          <w:rFonts w:cs="Times New Roman"/>
          <w:sz w:val="20"/>
          <w:szCs w:val="20"/>
        </w:rPr>
        <w:t>datę urodzenia,</w:t>
      </w:r>
    </w:p>
    <w:p w14:paraId="62936922" w14:textId="77777777" w:rsidR="003F012A" w:rsidRPr="002901C0" w:rsidRDefault="003F012A" w:rsidP="003F012A">
      <w:pPr>
        <w:pStyle w:val="Akapitzlist"/>
        <w:numPr>
          <w:ilvl w:val="1"/>
          <w:numId w:val="12"/>
        </w:numPr>
        <w:spacing w:after="120" w:line="276" w:lineRule="auto"/>
        <w:ind w:left="426"/>
        <w:jc w:val="both"/>
        <w:rPr>
          <w:rFonts w:cs="Times New Roman"/>
          <w:sz w:val="20"/>
          <w:szCs w:val="20"/>
        </w:rPr>
      </w:pPr>
      <w:r w:rsidRPr="002901C0">
        <w:rPr>
          <w:rFonts w:cs="Times New Roman"/>
          <w:sz w:val="20"/>
          <w:szCs w:val="20"/>
        </w:rPr>
        <w:t>adres miejsca zamieszkania,</w:t>
      </w:r>
    </w:p>
    <w:p w14:paraId="4C352C18" w14:textId="77777777" w:rsidR="003F012A" w:rsidRPr="002901C0" w:rsidRDefault="003F012A" w:rsidP="003F012A">
      <w:pPr>
        <w:pStyle w:val="Akapitzlist"/>
        <w:numPr>
          <w:ilvl w:val="1"/>
          <w:numId w:val="12"/>
        </w:numPr>
        <w:spacing w:after="120" w:line="276" w:lineRule="auto"/>
        <w:ind w:left="426"/>
        <w:jc w:val="both"/>
        <w:rPr>
          <w:rFonts w:cs="Times New Roman"/>
          <w:sz w:val="20"/>
          <w:szCs w:val="20"/>
        </w:rPr>
      </w:pPr>
      <w:r w:rsidRPr="002901C0">
        <w:rPr>
          <w:rFonts w:cs="Times New Roman"/>
          <w:sz w:val="20"/>
          <w:szCs w:val="20"/>
        </w:rPr>
        <w:t>płeć,</w:t>
      </w:r>
    </w:p>
    <w:p w14:paraId="2EE98064" w14:textId="77777777" w:rsidR="003F012A" w:rsidRPr="002901C0" w:rsidRDefault="003F012A" w:rsidP="003F012A">
      <w:pPr>
        <w:pStyle w:val="Akapitzlist"/>
        <w:numPr>
          <w:ilvl w:val="1"/>
          <w:numId w:val="12"/>
        </w:numPr>
        <w:spacing w:after="120" w:line="276" w:lineRule="auto"/>
        <w:ind w:left="426"/>
        <w:jc w:val="both"/>
        <w:rPr>
          <w:rFonts w:cs="Times New Roman"/>
          <w:sz w:val="20"/>
          <w:szCs w:val="20"/>
        </w:rPr>
      </w:pPr>
      <w:r w:rsidRPr="002901C0">
        <w:rPr>
          <w:rFonts w:cs="Times New Roman"/>
          <w:sz w:val="20"/>
          <w:szCs w:val="20"/>
        </w:rPr>
        <w:t>numer PESEL, jeżeli został nadany</w:t>
      </w:r>
    </w:p>
    <w:p w14:paraId="4EEF56D7" w14:textId="77777777" w:rsidR="003F012A" w:rsidRPr="002901C0" w:rsidRDefault="003F012A" w:rsidP="003F012A">
      <w:pPr>
        <w:pStyle w:val="Akapitzlist"/>
        <w:numPr>
          <w:ilvl w:val="1"/>
          <w:numId w:val="12"/>
        </w:numPr>
        <w:spacing w:after="120" w:line="276" w:lineRule="auto"/>
        <w:ind w:left="426"/>
        <w:jc w:val="both"/>
        <w:rPr>
          <w:rFonts w:cs="Times New Roman"/>
          <w:sz w:val="20"/>
          <w:szCs w:val="20"/>
        </w:rPr>
      </w:pPr>
      <w:r w:rsidRPr="002901C0">
        <w:rPr>
          <w:rFonts w:cs="Times New Roman"/>
          <w:sz w:val="20"/>
          <w:szCs w:val="20"/>
        </w:rPr>
        <w:t>nazwę jednostki, z której lekarz zleca i kieruje na badanie oraz kodem w systemie HIS,</w:t>
      </w:r>
    </w:p>
    <w:p w14:paraId="4EE36021" w14:textId="77777777" w:rsidR="003F012A" w:rsidRPr="002901C0" w:rsidRDefault="003F012A" w:rsidP="003F012A">
      <w:pPr>
        <w:pStyle w:val="Akapitzlist"/>
        <w:numPr>
          <w:ilvl w:val="1"/>
          <w:numId w:val="12"/>
        </w:numPr>
        <w:spacing w:after="120" w:line="276" w:lineRule="auto"/>
        <w:ind w:left="426"/>
        <w:jc w:val="both"/>
        <w:rPr>
          <w:rFonts w:cs="Times New Roman"/>
          <w:sz w:val="20"/>
          <w:szCs w:val="20"/>
        </w:rPr>
      </w:pPr>
      <w:r w:rsidRPr="002901C0">
        <w:rPr>
          <w:rFonts w:cs="Times New Roman"/>
          <w:sz w:val="20"/>
          <w:szCs w:val="20"/>
        </w:rPr>
        <w:t>datę i godzinę pobrania materiału,</w:t>
      </w:r>
    </w:p>
    <w:p w14:paraId="03EBACA8" w14:textId="77777777" w:rsidR="003F012A" w:rsidRPr="002901C0" w:rsidRDefault="003F012A" w:rsidP="003F012A">
      <w:pPr>
        <w:pStyle w:val="Akapitzlist"/>
        <w:numPr>
          <w:ilvl w:val="1"/>
          <w:numId w:val="12"/>
        </w:numPr>
        <w:spacing w:after="120" w:line="276" w:lineRule="auto"/>
        <w:ind w:left="426"/>
        <w:jc w:val="both"/>
        <w:rPr>
          <w:rFonts w:cs="Times New Roman"/>
          <w:sz w:val="20"/>
          <w:szCs w:val="20"/>
        </w:rPr>
      </w:pPr>
      <w:r w:rsidRPr="002901C0">
        <w:rPr>
          <w:rFonts w:cs="Times New Roman"/>
          <w:sz w:val="20"/>
          <w:szCs w:val="20"/>
        </w:rPr>
        <w:t>datę i godzinę zlecenia,</w:t>
      </w:r>
    </w:p>
    <w:p w14:paraId="034B5445" w14:textId="77777777" w:rsidR="003F012A" w:rsidRPr="002901C0" w:rsidRDefault="003F012A" w:rsidP="003F012A">
      <w:pPr>
        <w:pStyle w:val="Akapitzlist"/>
        <w:numPr>
          <w:ilvl w:val="1"/>
          <w:numId w:val="12"/>
        </w:numPr>
        <w:spacing w:after="120" w:line="276" w:lineRule="auto"/>
        <w:ind w:left="426"/>
        <w:jc w:val="both"/>
        <w:rPr>
          <w:rFonts w:cs="Times New Roman"/>
          <w:sz w:val="20"/>
          <w:szCs w:val="20"/>
        </w:rPr>
      </w:pPr>
      <w:r w:rsidRPr="002901C0">
        <w:rPr>
          <w:rFonts w:cs="Times New Roman"/>
          <w:sz w:val="20"/>
          <w:szCs w:val="20"/>
        </w:rPr>
        <w:t>dodatkowe informacje tekstowe wpisane przez zlecającego/pobierającego,</w:t>
      </w:r>
    </w:p>
    <w:p w14:paraId="7BEC871F" w14:textId="77777777" w:rsidR="003F012A" w:rsidRPr="002901C0" w:rsidRDefault="003F012A" w:rsidP="003F012A">
      <w:pPr>
        <w:pStyle w:val="Akapitzlist"/>
        <w:numPr>
          <w:ilvl w:val="1"/>
          <w:numId w:val="12"/>
        </w:numPr>
        <w:spacing w:after="120" w:line="276" w:lineRule="auto"/>
        <w:ind w:left="426"/>
        <w:jc w:val="both"/>
        <w:rPr>
          <w:rFonts w:cs="Times New Roman"/>
          <w:sz w:val="20"/>
          <w:szCs w:val="20"/>
        </w:rPr>
      </w:pPr>
      <w:r w:rsidRPr="002901C0">
        <w:rPr>
          <w:rFonts w:cs="Times New Roman"/>
          <w:sz w:val="20"/>
          <w:szCs w:val="20"/>
        </w:rPr>
        <w:t>oznaczenie lekarza zlecającego i kierującego na badanie (imię i nazwisko, posiadana specjalizacja, numer prawa wykonywania zawodu)</w:t>
      </w:r>
    </w:p>
    <w:p w14:paraId="3C08A8F9" w14:textId="77777777" w:rsidR="003F012A" w:rsidRPr="002901C0" w:rsidRDefault="003F012A" w:rsidP="003F012A">
      <w:pPr>
        <w:pStyle w:val="Akapitzlist"/>
        <w:numPr>
          <w:ilvl w:val="1"/>
          <w:numId w:val="12"/>
        </w:numPr>
        <w:spacing w:after="120" w:line="276" w:lineRule="auto"/>
        <w:ind w:left="426"/>
        <w:jc w:val="both"/>
        <w:rPr>
          <w:rFonts w:cs="Times New Roman"/>
          <w:sz w:val="20"/>
          <w:szCs w:val="20"/>
        </w:rPr>
      </w:pPr>
      <w:r w:rsidRPr="002901C0">
        <w:rPr>
          <w:rFonts w:cs="Times New Roman"/>
          <w:sz w:val="20"/>
          <w:szCs w:val="20"/>
        </w:rPr>
        <w:t>tryb wykonania badania: normalny/pilny/bardzo pilny.</w:t>
      </w:r>
    </w:p>
    <w:p w14:paraId="33473AD7" w14:textId="77777777" w:rsidR="003F012A" w:rsidRPr="002901C0" w:rsidRDefault="003F012A" w:rsidP="003F012A">
      <w:pPr>
        <w:pStyle w:val="Akapitzlist"/>
        <w:numPr>
          <w:ilvl w:val="1"/>
          <w:numId w:val="12"/>
        </w:numPr>
        <w:spacing w:after="120" w:line="276" w:lineRule="auto"/>
        <w:ind w:left="426"/>
        <w:jc w:val="both"/>
        <w:rPr>
          <w:rFonts w:cs="Times New Roman"/>
          <w:sz w:val="20"/>
          <w:szCs w:val="20"/>
        </w:rPr>
      </w:pPr>
      <w:r w:rsidRPr="002901C0">
        <w:rPr>
          <w:rFonts w:cs="Times New Roman"/>
          <w:sz w:val="20"/>
          <w:szCs w:val="20"/>
        </w:rPr>
        <w:t>informacja o objęciu pacjenta szybką ścieżką onkologiczną (DiLO)</w:t>
      </w:r>
    </w:p>
    <w:p w14:paraId="4EA9108A" w14:textId="77777777" w:rsidR="003F012A" w:rsidRPr="002901C0" w:rsidRDefault="003F012A" w:rsidP="003F012A">
      <w:pPr>
        <w:pStyle w:val="Akapitzlist"/>
        <w:numPr>
          <w:ilvl w:val="1"/>
          <w:numId w:val="12"/>
        </w:numPr>
        <w:spacing w:after="120" w:line="276" w:lineRule="auto"/>
        <w:ind w:left="426"/>
        <w:jc w:val="both"/>
        <w:rPr>
          <w:rFonts w:cs="Times New Roman"/>
          <w:sz w:val="20"/>
          <w:szCs w:val="20"/>
        </w:rPr>
      </w:pPr>
      <w:r w:rsidRPr="002901C0">
        <w:rPr>
          <w:rFonts w:cs="Times New Roman"/>
          <w:sz w:val="20"/>
          <w:szCs w:val="20"/>
        </w:rPr>
        <w:t>informacja o objęciu zlecenia pacjenta ścieżką kliniczną (kod, nazwa ścieżki, dane koordynatora)</w:t>
      </w:r>
    </w:p>
    <w:p w14:paraId="46EC4E15" w14:textId="77777777" w:rsidR="003F012A" w:rsidRPr="002901C0" w:rsidRDefault="003F012A" w:rsidP="003F012A">
      <w:pPr>
        <w:pStyle w:val="Akapitzlist"/>
        <w:numPr>
          <w:ilvl w:val="1"/>
          <w:numId w:val="12"/>
        </w:numPr>
        <w:spacing w:after="120" w:line="276" w:lineRule="auto"/>
        <w:ind w:left="426"/>
        <w:jc w:val="both"/>
        <w:rPr>
          <w:rFonts w:cs="Times New Roman"/>
          <w:sz w:val="20"/>
          <w:szCs w:val="20"/>
        </w:rPr>
      </w:pPr>
      <w:r w:rsidRPr="002901C0">
        <w:rPr>
          <w:rFonts w:cs="Times New Roman"/>
          <w:sz w:val="20"/>
          <w:szCs w:val="20"/>
        </w:rPr>
        <w:t>data oczekiwanego pobrania materiału dla badań pobieranych przez Zakład Patomorfologii</w:t>
      </w:r>
    </w:p>
    <w:p w14:paraId="727C4E32" w14:textId="77777777" w:rsidR="003F012A" w:rsidRPr="002901C0" w:rsidRDefault="003F012A" w:rsidP="003F012A">
      <w:pPr>
        <w:pStyle w:val="Akapitzlist"/>
        <w:numPr>
          <w:ilvl w:val="1"/>
          <w:numId w:val="12"/>
        </w:numPr>
        <w:spacing w:after="120" w:line="276" w:lineRule="auto"/>
        <w:ind w:left="426"/>
        <w:jc w:val="both"/>
        <w:rPr>
          <w:rFonts w:cs="Times New Roman"/>
          <w:sz w:val="20"/>
          <w:szCs w:val="20"/>
        </w:rPr>
      </w:pPr>
      <w:r w:rsidRPr="002901C0">
        <w:rPr>
          <w:rFonts w:cs="Times New Roman"/>
          <w:sz w:val="20"/>
          <w:szCs w:val="20"/>
        </w:rPr>
        <w:t>data oczekiwanego wydania wyniku</w:t>
      </w:r>
    </w:p>
    <w:p w14:paraId="25D0DAD0" w14:textId="77777777" w:rsidR="003F012A" w:rsidRPr="002901C0" w:rsidRDefault="003F012A" w:rsidP="003F012A">
      <w:pPr>
        <w:pStyle w:val="Akapitzlist"/>
        <w:numPr>
          <w:ilvl w:val="1"/>
          <w:numId w:val="12"/>
        </w:numPr>
        <w:spacing w:after="120" w:line="276" w:lineRule="auto"/>
        <w:ind w:left="426"/>
        <w:jc w:val="both"/>
        <w:rPr>
          <w:rFonts w:cs="Times New Roman"/>
          <w:sz w:val="20"/>
          <w:szCs w:val="20"/>
        </w:rPr>
      </w:pPr>
      <w:r w:rsidRPr="002901C0">
        <w:rPr>
          <w:rFonts w:cs="Times New Roman"/>
          <w:sz w:val="20"/>
          <w:szCs w:val="20"/>
        </w:rPr>
        <w:t>dla każdego z pojemników z materiałem/rozmazów cytologicznych przesyłanych do badania:  typ materiału/próbki, numer materiału/próbki, opis zawartości, lokalizacja miejsca pobrania, utrwalacz (bądź informacja o materiale nieutrwalonym), data i godzina utrwalenia, data i godzina pobrania, komentarz od osoby pobierającej.</w:t>
      </w:r>
    </w:p>
    <w:p w14:paraId="586720C6" w14:textId="77777777" w:rsidR="003F012A" w:rsidRPr="002901C0" w:rsidRDefault="003F012A" w:rsidP="003F012A">
      <w:pPr>
        <w:pStyle w:val="Akapitzlist"/>
        <w:numPr>
          <w:ilvl w:val="1"/>
          <w:numId w:val="12"/>
        </w:numPr>
        <w:spacing w:after="120" w:line="276" w:lineRule="auto"/>
        <w:ind w:left="426"/>
        <w:jc w:val="both"/>
        <w:rPr>
          <w:rFonts w:cs="Times New Roman"/>
          <w:sz w:val="20"/>
          <w:szCs w:val="20"/>
        </w:rPr>
      </w:pPr>
      <w:r w:rsidRPr="002901C0">
        <w:rPr>
          <w:rFonts w:cs="Times New Roman"/>
          <w:sz w:val="20"/>
          <w:szCs w:val="20"/>
        </w:rPr>
        <w:t>rodzaj badania</w:t>
      </w:r>
    </w:p>
    <w:p w14:paraId="07612326" w14:textId="77777777" w:rsidR="003F012A" w:rsidRPr="002901C0" w:rsidRDefault="003F012A" w:rsidP="003F012A">
      <w:pPr>
        <w:pStyle w:val="Akapitzlist"/>
        <w:numPr>
          <w:ilvl w:val="1"/>
          <w:numId w:val="12"/>
        </w:numPr>
        <w:spacing w:after="120" w:line="276" w:lineRule="auto"/>
        <w:ind w:left="426"/>
        <w:jc w:val="both"/>
        <w:rPr>
          <w:rFonts w:cs="Times New Roman"/>
          <w:sz w:val="20"/>
          <w:szCs w:val="20"/>
        </w:rPr>
      </w:pPr>
      <w:r w:rsidRPr="002901C0">
        <w:rPr>
          <w:rFonts w:cs="Times New Roman"/>
          <w:sz w:val="20"/>
          <w:szCs w:val="20"/>
        </w:rPr>
        <w:t>Inne dane wymagane na skierowaniu do badania patomorfologicznego zgodnie z obowiązującymi przepisami prawa aktualne na dzień wdrożenia</w:t>
      </w:r>
    </w:p>
    <w:p w14:paraId="348E2CC4" w14:textId="77777777" w:rsidR="003F012A" w:rsidRPr="002901C0" w:rsidRDefault="003F012A" w:rsidP="003F012A">
      <w:pPr>
        <w:pStyle w:val="Akapitzlist"/>
        <w:numPr>
          <w:ilvl w:val="1"/>
          <w:numId w:val="12"/>
        </w:numPr>
        <w:spacing w:after="120" w:line="276" w:lineRule="auto"/>
        <w:ind w:left="426"/>
        <w:jc w:val="both"/>
        <w:rPr>
          <w:rFonts w:cs="Times New Roman"/>
          <w:sz w:val="20"/>
          <w:szCs w:val="20"/>
        </w:rPr>
      </w:pPr>
      <w:r w:rsidRPr="002901C0">
        <w:rPr>
          <w:rFonts w:cs="Times New Roman"/>
          <w:sz w:val="20"/>
          <w:szCs w:val="20"/>
        </w:rPr>
        <w:t>przesyłane dane powinny podlegać walidacji. W przypadku negatywnych wyników walidacji system powinien odrzucić skierowanie i zwrócić informację zwrotną do systemu HIS</w:t>
      </w:r>
    </w:p>
    <w:p w14:paraId="4D582B60" w14:textId="77777777" w:rsidR="003F012A" w:rsidRPr="002901C0" w:rsidRDefault="003F012A" w:rsidP="003F012A">
      <w:pPr>
        <w:pStyle w:val="Akapitzlist"/>
        <w:numPr>
          <w:ilvl w:val="1"/>
          <w:numId w:val="12"/>
        </w:numPr>
        <w:spacing w:after="120" w:line="276" w:lineRule="auto"/>
        <w:ind w:left="426"/>
        <w:jc w:val="both"/>
        <w:rPr>
          <w:rFonts w:cs="Times New Roman"/>
          <w:sz w:val="20"/>
          <w:szCs w:val="20"/>
        </w:rPr>
      </w:pPr>
      <w:r w:rsidRPr="002901C0">
        <w:rPr>
          <w:rFonts w:cs="Times New Roman"/>
          <w:sz w:val="20"/>
          <w:szCs w:val="20"/>
        </w:rPr>
        <w:t>Obsługa anulowania zlecenia w LIS z poziomu HIS. Obligatoryjne odrzucenie próby anulowania zlecenia w sytuacji zarejestrowania badania po stronie Zakładu Patomorfologii Zamawiającego (przyjęcia do realizacji).</w:t>
      </w:r>
    </w:p>
    <w:p w14:paraId="67F8F59D" w14:textId="75473B5F" w:rsidR="003F012A" w:rsidRPr="00800C02" w:rsidRDefault="003F012A" w:rsidP="003F012A">
      <w:pPr>
        <w:pStyle w:val="Nagwek1"/>
        <w:numPr>
          <w:ilvl w:val="0"/>
          <w:numId w:val="12"/>
        </w:numPr>
        <w:tabs>
          <w:tab w:val="num" w:pos="720"/>
        </w:tabs>
        <w:ind w:left="720"/>
        <w:jc w:val="both"/>
        <w:rPr>
          <w:rFonts w:asciiTheme="minorHAnsi" w:hAnsiTheme="minorHAnsi" w:cs="Times New Roman"/>
          <w:color w:val="auto"/>
          <w:sz w:val="20"/>
          <w:szCs w:val="20"/>
        </w:rPr>
      </w:pPr>
      <w:bookmarkStart w:id="40" w:name="_Toc202087196"/>
      <w:r w:rsidRPr="002901C0">
        <w:rPr>
          <w:rFonts w:asciiTheme="minorHAnsi" w:hAnsiTheme="minorHAnsi" w:cs="Times New Roman"/>
          <w:color w:val="auto"/>
          <w:sz w:val="20"/>
          <w:szCs w:val="20"/>
        </w:rPr>
        <w:t>Wysyłka wyników do zleceń (LIS-&gt;HIS)</w:t>
      </w:r>
      <w:bookmarkEnd w:id="40"/>
    </w:p>
    <w:p w14:paraId="54F372A8" w14:textId="77777777" w:rsidR="003F012A" w:rsidRPr="002901C0" w:rsidRDefault="003F012A" w:rsidP="003F012A">
      <w:pPr>
        <w:pStyle w:val="Akapitzlist"/>
        <w:numPr>
          <w:ilvl w:val="1"/>
          <w:numId w:val="12"/>
        </w:numPr>
        <w:spacing w:after="120" w:line="276" w:lineRule="auto"/>
        <w:ind w:left="426"/>
        <w:jc w:val="both"/>
        <w:rPr>
          <w:sz w:val="20"/>
          <w:szCs w:val="20"/>
        </w:rPr>
      </w:pPr>
      <w:r w:rsidRPr="002901C0">
        <w:rPr>
          <w:sz w:val="20"/>
          <w:szCs w:val="20"/>
        </w:rPr>
        <w:t>Wynik badania widoczny jako wynik zlecenia – z poziomu pobytu pacjenta oraz z poziomu przeglądu wyników. Treść wyniku powinna być tożsama z treścią wyniku z pliku PDF generowanego przez LIS.</w:t>
      </w:r>
    </w:p>
    <w:p w14:paraId="1A828315" w14:textId="77777777" w:rsidR="003F012A" w:rsidRPr="002901C0" w:rsidRDefault="003F012A" w:rsidP="003F012A">
      <w:pPr>
        <w:pStyle w:val="Akapitzlist"/>
        <w:numPr>
          <w:ilvl w:val="1"/>
          <w:numId w:val="12"/>
        </w:numPr>
        <w:spacing w:after="120" w:line="276" w:lineRule="auto"/>
        <w:ind w:left="426"/>
        <w:jc w:val="both"/>
        <w:rPr>
          <w:sz w:val="20"/>
          <w:szCs w:val="20"/>
        </w:rPr>
      </w:pPr>
      <w:r w:rsidRPr="002901C0">
        <w:rPr>
          <w:sz w:val="20"/>
          <w:szCs w:val="20"/>
        </w:rPr>
        <w:t>Przesłanie numeru księgi pracowni z oferowanego systemu do systemu HIS.</w:t>
      </w:r>
    </w:p>
    <w:p w14:paraId="1BEB6D43" w14:textId="77777777" w:rsidR="003F012A" w:rsidRPr="002901C0" w:rsidRDefault="003F012A" w:rsidP="003F012A">
      <w:pPr>
        <w:pStyle w:val="Akapitzlist"/>
        <w:numPr>
          <w:ilvl w:val="1"/>
          <w:numId w:val="12"/>
        </w:numPr>
        <w:spacing w:after="120" w:line="276" w:lineRule="auto"/>
        <w:ind w:left="426"/>
        <w:jc w:val="both"/>
        <w:rPr>
          <w:sz w:val="20"/>
          <w:szCs w:val="20"/>
        </w:rPr>
      </w:pPr>
      <w:r w:rsidRPr="002901C0">
        <w:rPr>
          <w:sz w:val="20"/>
          <w:szCs w:val="20"/>
        </w:rPr>
        <w:t>Przesłanie wybranych przez użytkownika załączników (np. obrazowych) z systemu LIS do HIS. Funkcjonalność może być zrealizowana poprzez wysyłkę odpowiedniego odnośnika do pliku załącznika.</w:t>
      </w:r>
    </w:p>
    <w:p w14:paraId="31CB5265" w14:textId="77777777" w:rsidR="003F012A" w:rsidRPr="002901C0" w:rsidRDefault="003F012A" w:rsidP="003F012A">
      <w:pPr>
        <w:pStyle w:val="Akapitzlist"/>
        <w:numPr>
          <w:ilvl w:val="1"/>
          <w:numId w:val="12"/>
        </w:numPr>
        <w:spacing w:after="120" w:line="276" w:lineRule="auto"/>
        <w:ind w:left="426"/>
        <w:jc w:val="both"/>
        <w:rPr>
          <w:sz w:val="20"/>
          <w:szCs w:val="20"/>
        </w:rPr>
      </w:pPr>
      <w:r w:rsidRPr="002901C0">
        <w:rPr>
          <w:sz w:val="20"/>
          <w:szCs w:val="20"/>
        </w:rPr>
        <w:t>Przesłany komplet dodatkowo wykonanych procedur wraz z określeniem ich krotności jako szczegółowe wykonanie do zlecenia z systemu HIS.</w:t>
      </w:r>
    </w:p>
    <w:p w14:paraId="6024C93A" w14:textId="77777777" w:rsidR="003F012A" w:rsidRPr="002901C0" w:rsidRDefault="003F012A" w:rsidP="003F012A">
      <w:pPr>
        <w:pStyle w:val="Akapitzlist"/>
        <w:numPr>
          <w:ilvl w:val="1"/>
          <w:numId w:val="12"/>
        </w:numPr>
        <w:spacing w:after="120" w:line="276" w:lineRule="auto"/>
        <w:ind w:left="426"/>
        <w:jc w:val="both"/>
        <w:rPr>
          <w:sz w:val="20"/>
          <w:szCs w:val="20"/>
        </w:rPr>
      </w:pPr>
      <w:r w:rsidRPr="002901C0">
        <w:rPr>
          <w:sz w:val="20"/>
          <w:szCs w:val="20"/>
        </w:rPr>
        <w:t>Możliwość implementacji grupera dla badań JGPato – wysyłka do HIS automatycznie wyznaczonego produktu kontraktowego NFZ do rozliczenia.</w:t>
      </w:r>
    </w:p>
    <w:p w14:paraId="7E489C6B" w14:textId="77777777" w:rsidR="003F012A" w:rsidRPr="002901C0" w:rsidRDefault="003F012A" w:rsidP="003F012A">
      <w:pPr>
        <w:pStyle w:val="Akapitzlist"/>
        <w:numPr>
          <w:ilvl w:val="1"/>
          <w:numId w:val="12"/>
        </w:numPr>
        <w:spacing w:after="120" w:line="276" w:lineRule="auto"/>
        <w:ind w:left="426"/>
        <w:jc w:val="both"/>
        <w:rPr>
          <w:sz w:val="20"/>
          <w:szCs w:val="20"/>
        </w:rPr>
      </w:pPr>
      <w:r w:rsidRPr="002901C0">
        <w:rPr>
          <w:sz w:val="20"/>
          <w:szCs w:val="20"/>
        </w:rPr>
        <w:t>Możliwość wysyłania wyników w formacie PDF (w tym z podpisem elektronicznym) w komunikatach HL7 wraz z opisem badania. Z poziomu HIS powinna być dostępna ostatnia wersja wyniku (w przypadku jego aktualizacji przez LIS).</w:t>
      </w:r>
    </w:p>
    <w:p w14:paraId="42A5B9B8" w14:textId="77777777" w:rsidR="003F012A" w:rsidRPr="002901C0" w:rsidRDefault="003F012A" w:rsidP="003F012A">
      <w:pPr>
        <w:pStyle w:val="Akapitzlist"/>
        <w:numPr>
          <w:ilvl w:val="1"/>
          <w:numId w:val="12"/>
        </w:numPr>
        <w:spacing w:after="120" w:line="276" w:lineRule="auto"/>
        <w:ind w:left="426"/>
        <w:jc w:val="both"/>
        <w:rPr>
          <w:sz w:val="20"/>
          <w:szCs w:val="20"/>
        </w:rPr>
      </w:pPr>
      <w:r w:rsidRPr="002901C0">
        <w:rPr>
          <w:sz w:val="20"/>
          <w:szCs w:val="20"/>
        </w:rPr>
        <w:lastRenderedPageBreak/>
        <w:t>Wykonawca zapewni implementację w systemie wyników w formacie PIK HL7-CDA i współpracę z systemem EDM Zamawiającego. Wymagana jest implementacja wyników opartych przynajmniej o szablony PIK rozpoznania patomorfologicznego w wariantach histologia i cytologia oraz opisu badania diagnostycznego i opisu badania laboratoryjnego. Merytoryczny wybór szablonu następuje zgodnie z rodzajem wykonanego badania w oferowanym systemie. Niedopuszczalna jest implementacja polegająca na rejestracji w EDM wyników zawierających wyłącznie prezentacyjną formę wyniku (np. zagnieżdżony plik PDF).</w:t>
      </w:r>
    </w:p>
    <w:p w14:paraId="6AD2A3A1" w14:textId="77777777" w:rsidR="003F012A" w:rsidRPr="002901C0" w:rsidRDefault="003F012A" w:rsidP="003F012A">
      <w:pPr>
        <w:pStyle w:val="Akapitzlist"/>
        <w:numPr>
          <w:ilvl w:val="1"/>
          <w:numId w:val="12"/>
        </w:numPr>
        <w:spacing w:after="120" w:line="276" w:lineRule="auto"/>
        <w:ind w:left="426"/>
        <w:jc w:val="both"/>
        <w:rPr>
          <w:sz w:val="20"/>
          <w:szCs w:val="20"/>
        </w:rPr>
      </w:pPr>
      <w:r w:rsidRPr="002901C0">
        <w:rPr>
          <w:sz w:val="20"/>
          <w:szCs w:val="20"/>
        </w:rPr>
        <w:t>Aktualizacja statusów zlecenia w systemie HIS po przyjęciu zlecenia do realizacji w LIS oraz po zakończeniu etapu technicznego i przypisania przypadku do lekarza lub diagnosty odpowiedzialnego.</w:t>
      </w:r>
    </w:p>
    <w:p w14:paraId="2DDC44E3" w14:textId="77777777" w:rsidR="003F012A" w:rsidRPr="002901C0" w:rsidRDefault="003F012A" w:rsidP="003F012A">
      <w:pPr>
        <w:pStyle w:val="Akapitzlist"/>
        <w:numPr>
          <w:ilvl w:val="1"/>
          <w:numId w:val="12"/>
        </w:numPr>
        <w:spacing w:after="120" w:line="276" w:lineRule="auto"/>
        <w:ind w:left="426"/>
        <w:jc w:val="both"/>
        <w:rPr>
          <w:sz w:val="20"/>
          <w:szCs w:val="20"/>
        </w:rPr>
      </w:pPr>
      <w:r w:rsidRPr="002901C0">
        <w:rPr>
          <w:sz w:val="20"/>
          <w:szCs w:val="20"/>
        </w:rPr>
        <w:t>Obsługa anulowania zlecenia z prezentacją wpisanego w LIS komentarza / informacji o danej zmianie użytkownikom po stronie HIS w kontekście danego zlecenia.</w:t>
      </w:r>
    </w:p>
    <w:p w14:paraId="764B736E" w14:textId="77777777" w:rsidR="003F012A" w:rsidRPr="002901C0" w:rsidRDefault="003F012A" w:rsidP="003F012A">
      <w:pPr>
        <w:pStyle w:val="Akapitzlist"/>
        <w:numPr>
          <w:ilvl w:val="1"/>
          <w:numId w:val="12"/>
        </w:numPr>
        <w:spacing w:after="120" w:line="276" w:lineRule="auto"/>
        <w:ind w:left="426"/>
        <w:jc w:val="both"/>
        <w:rPr>
          <w:sz w:val="20"/>
          <w:szCs w:val="20"/>
        </w:rPr>
      </w:pPr>
      <w:r w:rsidRPr="002901C0">
        <w:rPr>
          <w:sz w:val="20"/>
          <w:szCs w:val="20"/>
        </w:rPr>
        <w:t>Monitoring stanu procesów wymiany danych (integracji) w ramach obsługi serwisowej Wykonawcy – całodobowo z podejmowaniem czynności serwisowych i zaradczych przez Wykonawcę, bez wezwania przez Zamawiającego, po stronie dostarczonego rozwiązania.</w:t>
      </w:r>
    </w:p>
    <w:p w14:paraId="4798414A" w14:textId="77777777" w:rsidR="003F012A" w:rsidRPr="002901C0" w:rsidRDefault="003F012A" w:rsidP="003F012A">
      <w:pPr>
        <w:pStyle w:val="Akapitzlist"/>
        <w:numPr>
          <w:ilvl w:val="1"/>
          <w:numId w:val="12"/>
        </w:numPr>
        <w:spacing w:after="120" w:line="276" w:lineRule="auto"/>
        <w:ind w:left="426"/>
        <w:jc w:val="both"/>
        <w:rPr>
          <w:sz w:val="20"/>
          <w:szCs w:val="20"/>
        </w:rPr>
      </w:pPr>
      <w:r w:rsidRPr="002901C0">
        <w:rPr>
          <w:sz w:val="20"/>
          <w:szCs w:val="20"/>
        </w:rPr>
        <w:t>Automatyczne przesyłanie wyniku do repozytorium dokumentacji EDM z chwilą jego podpisania cyfrowo w oferowanym systemie i potwierdzonym przyjęciem wyniku w HIS.</w:t>
      </w:r>
    </w:p>
    <w:p w14:paraId="370D972A" w14:textId="77777777" w:rsidR="003F012A" w:rsidRPr="002901C0" w:rsidRDefault="003F012A" w:rsidP="003F012A">
      <w:pPr>
        <w:pStyle w:val="Akapitzlist"/>
        <w:numPr>
          <w:ilvl w:val="1"/>
          <w:numId w:val="12"/>
        </w:numPr>
        <w:spacing w:after="120" w:line="276" w:lineRule="auto"/>
        <w:ind w:left="426"/>
        <w:jc w:val="both"/>
        <w:rPr>
          <w:sz w:val="20"/>
          <w:szCs w:val="20"/>
        </w:rPr>
      </w:pPr>
      <w:r w:rsidRPr="002901C0">
        <w:rPr>
          <w:sz w:val="20"/>
          <w:szCs w:val="20"/>
        </w:rPr>
        <w:t>Licencja obejmuje wszelkie koszty integracji leżące po stronie Wykonawcy systemu LIS i jest dostarczana w ramach niniejszego zamówienia. Wykonawca zapewni licencję na integrację po stronie systemu HIS i EDM oraz pokryje wszelkie koszty niezbędne do jej uruchomienia.</w:t>
      </w:r>
    </w:p>
    <w:p w14:paraId="31C9865A" w14:textId="3BC2130A" w:rsidR="003F012A" w:rsidRPr="00800C02" w:rsidRDefault="003F012A" w:rsidP="003F012A">
      <w:pPr>
        <w:pStyle w:val="Nagwek1"/>
        <w:numPr>
          <w:ilvl w:val="0"/>
          <w:numId w:val="12"/>
        </w:numPr>
        <w:tabs>
          <w:tab w:val="num" w:pos="720"/>
        </w:tabs>
        <w:ind w:left="720"/>
        <w:jc w:val="both"/>
        <w:rPr>
          <w:rFonts w:asciiTheme="minorHAnsi" w:hAnsiTheme="minorHAnsi" w:cs="Times New Roman"/>
          <w:color w:val="auto"/>
          <w:sz w:val="20"/>
          <w:szCs w:val="20"/>
        </w:rPr>
      </w:pPr>
      <w:bookmarkStart w:id="41" w:name="_Toc175645143"/>
      <w:bookmarkStart w:id="42" w:name="_Toc202087197"/>
      <w:r w:rsidRPr="002901C0">
        <w:rPr>
          <w:rFonts w:asciiTheme="minorHAnsi" w:hAnsiTheme="minorHAnsi" w:cs="Times New Roman"/>
          <w:color w:val="auto"/>
          <w:sz w:val="20"/>
          <w:szCs w:val="20"/>
        </w:rPr>
        <w:t>Minimalny zakres funkcjonalny dostępu z LIS do wyników zgromadzonych w HIS</w:t>
      </w:r>
      <w:bookmarkEnd w:id="41"/>
      <w:bookmarkEnd w:id="42"/>
    </w:p>
    <w:p w14:paraId="1B3401C4" w14:textId="77777777" w:rsidR="003F012A" w:rsidRPr="002901C0" w:rsidRDefault="003F012A" w:rsidP="003F012A">
      <w:pPr>
        <w:pStyle w:val="Akapitzlist"/>
        <w:numPr>
          <w:ilvl w:val="1"/>
          <w:numId w:val="12"/>
        </w:numPr>
        <w:spacing w:after="120" w:line="276" w:lineRule="auto"/>
        <w:ind w:left="426"/>
        <w:jc w:val="both"/>
        <w:rPr>
          <w:sz w:val="20"/>
          <w:szCs w:val="20"/>
        </w:rPr>
      </w:pPr>
      <w:r w:rsidRPr="002901C0">
        <w:rPr>
          <w:sz w:val="20"/>
          <w:szCs w:val="20"/>
        </w:rPr>
        <w:t>Zamawiający oczekuje następujących funkcjonalności dotyczący dostępu do wyników z systemu HIS:</w:t>
      </w:r>
    </w:p>
    <w:p w14:paraId="3534723A" w14:textId="77777777" w:rsidR="003F012A" w:rsidRPr="002901C0" w:rsidRDefault="003F012A" w:rsidP="003F012A">
      <w:pPr>
        <w:pStyle w:val="Akapitzlist"/>
        <w:numPr>
          <w:ilvl w:val="2"/>
          <w:numId w:val="12"/>
        </w:numPr>
        <w:spacing w:after="120" w:line="276" w:lineRule="auto"/>
        <w:ind w:left="851"/>
        <w:jc w:val="both"/>
        <w:rPr>
          <w:sz w:val="20"/>
          <w:szCs w:val="20"/>
        </w:rPr>
      </w:pPr>
      <w:r w:rsidRPr="002901C0">
        <w:rPr>
          <w:rFonts w:cs="Times New Roman"/>
          <w:sz w:val="20"/>
          <w:szCs w:val="20"/>
        </w:rPr>
        <w:t xml:space="preserve"> dostęp w formie online; niedopuszczalne jest składowanie wyników z HIS w systemie LIS;</w:t>
      </w:r>
    </w:p>
    <w:p w14:paraId="380EF37D" w14:textId="77777777" w:rsidR="003F012A" w:rsidRPr="002901C0" w:rsidRDefault="003F012A" w:rsidP="003F012A">
      <w:pPr>
        <w:pStyle w:val="Akapitzlist"/>
        <w:numPr>
          <w:ilvl w:val="2"/>
          <w:numId w:val="12"/>
        </w:numPr>
        <w:spacing w:after="120" w:line="276" w:lineRule="auto"/>
        <w:ind w:left="851"/>
        <w:jc w:val="both"/>
        <w:rPr>
          <w:sz w:val="20"/>
          <w:szCs w:val="20"/>
        </w:rPr>
      </w:pPr>
      <w:r w:rsidRPr="002901C0">
        <w:rPr>
          <w:rFonts w:cs="Times New Roman"/>
          <w:sz w:val="20"/>
          <w:szCs w:val="20"/>
        </w:rPr>
        <w:t xml:space="preserve"> dostęp do badań z poziomu systemu LIS na podstawie numeru identyfikacyjnego pacjenta w systemie HIS oraz numeru PESEL;</w:t>
      </w:r>
    </w:p>
    <w:p w14:paraId="309FC2C6" w14:textId="77777777" w:rsidR="003F012A" w:rsidRPr="002901C0" w:rsidRDefault="003F012A" w:rsidP="003F012A">
      <w:pPr>
        <w:pStyle w:val="Akapitzlist"/>
        <w:numPr>
          <w:ilvl w:val="2"/>
          <w:numId w:val="12"/>
        </w:numPr>
        <w:spacing w:after="120" w:line="276" w:lineRule="auto"/>
        <w:ind w:left="851"/>
        <w:jc w:val="both"/>
        <w:rPr>
          <w:sz w:val="20"/>
          <w:szCs w:val="20"/>
        </w:rPr>
      </w:pPr>
      <w:r w:rsidRPr="002901C0">
        <w:rPr>
          <w:rFonts w:cs="Times New Roman"/>
          <w:sz w:val="20"/>
          <w:szCs w:val="20"/>
        </w:rPr>
        <w:t xml:space="preserve"> dostęp do chronologicznej listy pobytów pacjenta w systemie HIS;</w:t>
      </w:r>
    </w:p>
    <w:p w14:paraId="7C0000E4" w14:textId="77777777" w:rsidR="003F012A" w:rsidRPr="002901C0" w:rsidRDefault="003F012A" w:rsidP="003F012A">
      <w:pPr>
        <w:pStyle w:val="Akapitzlist"/>
        <w:numPr>
          <w:ilvl w:val="2"/>
          <w:numId w:val="12"/>
        </w:numPr>
        <w:spacing w:after="120" w:line="276" w:lineRule="auto"/>
        <w:ind w:left="851"/>
        <w:jc w:val="both"/>
        <w:rPr>
          <w:sz w:val="20"/>
          <w:szCs w:val="20"/>
        </w:rPr>
      </w:pPr>
      <w:r w:rsidRPr="002901C0">
        <w:rPr>
          <w:rFonts w:cs="Times New Roman"/>
          <w:sz w:val="20"/>
          <w:szCs w:val="20"/>
        </w:rPr>
        <w:t xml:space="preserve"> wyświetlanie w LIS wykonanych badań pacjenta chronologicznie w kontekście wybranego pobytu, zawierających następujące dane:</w:t>
      </w:r>
    </w:p>
    <w:p w14:paraId="272F184D" w14:textId="77777777" w:rsidR="003F012A" w:rsidRPr="002901C0" w:rsidRDefault="003F012A" w:rsidP="003F012A">
      <w:pPr>
        <w:pStyle w:val="Akapitzlist"/>
        <w:numPr>
          <w:ilvl w:val="3"/>
          <w:numId w:val="12"/>
        </w:numPr>
        <w:spacing w:after="120" w:line="276" w:lineRule="auto"/>
        <w:ind w:left="1418"/>
        <w:jc w:val="both"/>
        <w:rPr>
          <w:sz w:val="20"/>
          <w:szCs w:val="20"/>
        </w:rPr>
      </w:pPr>
      <w:r w:rsidRPr="002901C0">
        <w:rPr>
          <w:rFonts w:cs="Times New Roman"/>
          <w:sz w:val="20"/>
          <w:szCs w:val="20"/>
        </w:rPr>
        <w:t xml:space="preserve"> rodzaj wykonanego badania;</w:t>
      </w:r>
    </w:p>
    <w:p w14:paraId="54C403FC" w14:textId="77777777" w:rsidR="003F012A" w:rsidRPr="002901C0" w:rsidRDefault="003F012A" w:rsidP="003F012A">
      <w:pPr>
        <w:pStyle w:val="Akapitzlist"/>
        <w:numPr>
          <w:ilvl w:val="3"/>
          <w:numId w:val="12"/>
        </w:numPr>
        <w:spacing w:after="120" w:line="276" w:lineRule="auto"/>
        <w:ind w:left="1418"/>
        <w:jc w:val="both"/>
        <w:rPr>
          <w:sz w:val="20"/>
          <w:szCs w:val="20"/>
        </w:rPr>
      </w:pPr>
      <w:r w:rsidRPr="002901C0">
        <w:rPr>
          <w:rFonts w:cs="Times New Roman"/>
          <w:sz w:val="20"/>
          <w:szCs w:val="20"/>
        </w:rPr>
        <w:t>data wykonania;</w:t>
      </w:r>
    </w:p>
    <w:p w14:paraId="7ED9B55B" w14:textId="77777777" w:rsidR="003F012A" w:rsidRPr="002901C0" w:rsidRDefault="003F012A" w:rsidP="003F012A">
      <w:pPr>
        <w:pStyle w:val="Akapitzlist"/>
        <w:numPr>
          <w:ilvl w:val="3"/>
          <w:numId w:val="12"/>
        </w:numPr>
        <w:spacing w:after="120" w:line="276" w:lineRule="auto"/>
        <w:ind w:left="1418"/>
        <w:jc w:val="both"/>
        <w:rPr>
          <w:sz w:val="20"/>
          <w:szCs w:val="20"/>
        </w:rPr>
      </w:pPr>
      <w:r w:rsidRPr="002901C0">
        <w:rPr>
          <w:rFonts w:cs="Times New Roman"/>
          <w:sz w:val="20"/>
          <w:szCs w:val="20"/>
        </w:rPr>
        <w:t xml:space="preserve"> opis tekstowy badania – w przypadku badania zawierającego opis tekstowy;</w:t>
      </w:r>
    </w:p>
    <w:p w14:paraId="010F69F6" w14:textId="77777777" w:rsidR="003F012A" w:rsidRPr="002901C0" w:rsidRDefault="003F012A" w:rsidP="003F012A">
      <w:pPr>
        <w:pStyle w:val="Akapitzlist"/>
        <w:numPr>
          <w:ilvl w:val="3"/>
          <w:numId w:val="12"/>
        </w:numPr>
        <w:spacing w:after="120" w:line="276" w:lineRule="auto"/>
        <w:ind w:left="1418"/>
        <w:jc w:val="both"/>
        <w:rPr>
          <w:sz w:val="20"/>
          <w:szCs w:val="20"/>
        </w:rPr>
      </w:pPr>
      <w:r w:rsidRPr="002901C0">
        <w:rPr>
          <w:rFonts w:cs="Times New Roman"/>
          <w:sz w:val="20"/>
          <w:szCs w:val="20"/>
        </w:rPr>
        <w:t xml:space="preserve"> wynik pomiaru wraz z jednostką i zakresem referencyjnym – w przypadku badań analitycznych;</w:t>
      </w:r>
    </w:p>
    <w:p w14:paraId="4760A642" w14:textId="77777777" w:rsidR="003F012A" w:rsidRPr="002901C0" w:rsidRDefault="003F012A" w:rsidP="003F012A">
      <w:pPr>
        <w:pStyle w:val="Akapitzlist"/>
        <w:numPr>
          <w:ilvl w:val="3"/>
          <w:numId w:val="12"/>
        </w:numPr>
        <w:spacing w:after="120" w:line="276" w:lineRule="auto"/>
        <w:ind w:left="1418"/>
        <w:jc w:val="both"/>
        <w:rPr>
          <w:sz w:val="20"/>
          <w:szCs w:val="20"/>
        </w:rPr>
      </w:pPr>
      <w:r w:rsidRPr="002901C0">
        <w:rPr>
          <w:rFonts w:cs="Times New Roman"/>
          <w:sz w:val="20"/>
          <w:szCs w:val="20"/>
        </w:rPr>
        <w:t xml:space="preserve"> dane osób uczestniczących w wykonaniu badania.</w:t>
      </w:r>
    </w:p>
    <w:p w14:paraId="61D70C0A" w14:textId="77777777" w:rsidR="003F012A" w:rsidRPr="002901C0" w:rsidRDefault="003F012A" w:rsidP="003F012A">
      <w:pPr>
        <w:jc w:val="both"/>
        <w:rPr>
          <w:sz w:val="20"/>
          <w:szCs w:val="20"/>
        </w:rPr>
      </w:pPr>
    </w:p>
    <w:p w14:paraId="1DE02ADC" w14:textId="1F61299F" w:rsidR="003F012A" w:rsidRPr="00800C02" w:rsidRDefault="003F012A" w:rsidP="00800C02">
      <w:pPr>
        <w:jc w:val="center"/>
        <w:rPr>
          <w:rFonts w:cs="Times New Roman"/>
          <w:b/>
          <w:bCs/>
          <w:sz w:val="20"/>
          <w:szCs w:val="20"/>
        </w:rPr>
      </w:pPr>
      <w:r w:rsidRPr="002901C0">
        <w:rPr>
          <w:rFonts w:cs="Times New Roman"/>
          <w:b/>
          <w:bCs/>
          <w:sz w:val="20"/>
          <w:szCs w:val="20"/>
        </w:rPr>
        <w:t>WSPÓŁPRACA Z INNYMI SYSTEMAMI</w:t>
      </w:r>
    </w:p>
    <w:p w14:paraId="0DC48076" w14:textId="1E648C98" w:rsidR="003F012A" w:rsidRPr="00800C02" w:rsidRDefault="003F012A" w:rsidP="003F012A">
      <w:pPr>
        <w:pStyle w:val="Nagwek1"/>
        <w:numPr>
          <w:ilvl w:val="0"/>
          <w:numId w:val="13"/>
        </w:numPr>
        <w:tabs>
          <w:tab w:val="num" w:pos="720"/>
        </w:tabs>
        <w:ind w:left="720"/>
        <w:rPr>
          <w:rFonts w:asciiTheme="minorHAnsi" w:hAnsiTheme="minorHAnsi" w:cs="Times New Roman"/>
          <w:color w:val="auto"/>
          <w:sz w:val="20"/>
          <w:szCs w:val="20"/>
        </w:rPr>
      </w:pPr>
      <w:bookmarkStart w:id="43" w:name="_Toc203118695"/>
      <w:r w:rsidRPr="002901C0">
        <w:rPr>
          <w:rFonts w:asciiTheme="minorHAnsi" w:hAnsiTheme="minorHAnsi" w:cs="Times New Roman"/>
          <w:color w:val="auto"/>
          <w:sz w:val="20"/>
          <w:szCs w:val="20"/>
        </w:rPr>
        <w:t>Współpraca z systemem SIMP NFZ:</w:t>
      </w:r>
      <w:bookmarkEnd w:id="43"/>
    </w:p>
    <w:p w14:paraId="4680E1AB" w14:textId="77777777" w:rsidR="003F012A" w:rsidRPr="002901C0" w:rsidRDefault="003F012A" w:rsidP="003F012A">
      <w:pPr>
        <w:pStyle w:val="Akapitzlist"/>
        <w:numPr>
          <w:ilvl w:val="1"/>
          <w:numId w:val="13"/>
        </w:numPr>
        <w:spacing w:after="120" w:line="276" w:lineRule="auto"/>
        <w:ind w:left="426"/>
        <w:jc w:val="both"/>
        <w:rPr>
          <w:rFonts w:cs="Times New Roman"/>
          <w:sz w:val="20"/>
          <w:szCs w:val="20"/>
        </w:rPr>
      </w:pPr>
      <w:r w:rsidRPr="002901C0">
        <w:rPr>
          <w:rFonts w:cs="Times New Roman"/>
          <w:sz w:val="20"/>
          <w:szCs w:val="20"/>
        </w:rPr>
        <w:t>Pełna zgodność z rozpoznaniami wg klasyfikacji Bethesda (wg NFZ).</w:t>
      </w:r>
    </w:p>
    <w:p w14:paraId="595E3CCE" w14:textId="77777777" w:rsidR="003F012A" w:rsidRPr="002901C0" w:rsidRDefault="003F012A" w:rsidP="003F012A">
      <w:pPr>
        <w:pStyle w:val="Akapitzlist"/>
        <w:numPr>
          <w:ilvl w:val="1"/>
          <w:numId w:val="13"/>
        </w:numPr>
        <w:spacing w:after="120" w:line="276" w:lineRule="auto"/>
        <w:ind w:left="426"/>
        <w:jc w:val="both"/>
        <w:rPr>
          <w:rFonts w:cs="Times New Roman"/>
          <w:sz w:val="20"/>
          <w:szCs w:val="20"/>
        </w:rPr>
      </w:pPr>
      <w:r w:rsidRPr="002901C0">
        <w:rPr>
          <w:rFonts w:cs="Times New Roman"/>
          <w:sz w:val="20"/>
          <w:szCs w:val="20"/>
        </w:rPr>
        <w:t>Eksport wyników badań cytologii ginekologicznych na serwer SIMP NFZ. Możliwość zautomatyzowania eksportu wg określonego harmonogramu.</w:t>
      </w:r>
    </w:p>
    <w:p w14:paraId="0F4F82F4" w14:textId="77777777" w:rsidR="003F012A" w:rsidRPr="002901C0" w:rsidRDefault="003F012A" w:rsidP="003F012A">
      <w:pPr>
        <w:pStyle w:val="Akapitzlist"/>
        <w:numPr>
          <w:ilvl w:val="1"/>
          <w:numId w:val="13"/>
        </w:numPr>
        <w:spacing w:after="120" w:line="276" w:lineRule="auto"/>
        <w:ind w:left="426"/>
        <w:jc w:val="both"/>
        <w:rPr>
          <w:rFonts w:cs="Times New Roman"/>
          <w:sz w:val="20"/>
          <w:szCs w:val="20"/>
        </w:rPr>
      </w:pPr>
      <w:r w:rsidRPr="002901C0">
        <w:rPr>
          <w:rFonts w:cs="Times New Roman"/>
          <w:sz w:val="20"/>
          <w:szCs w:val="20"/>
        </w:rPr>
        <w:t>Automatyczne oznaczanie badań jako wydrukowanych w SIMP.</w:t>
      </w:r>
    </w:p>
    <w:p w14:paraId="785F957E" w14:textId="77777777" w:rsidR="003F012A" w:rsidRPr="002901C0" w:rsidRDefault="003F012A" w:rsidP="003F012A">
      <w:pPr>
        <w:pStyle w:val="Akapitzlist"/>
        <w:numPr>
          <w:ilvl w:val="1"/>
          <w:numId w:val="13"/>
        </w:numPr>
        <w:spacing w:after="120" w:line="276" w:lineRule="auto"/>
        <w:ind w:left="426"/>
        <w:jc w:val="both"/>
        <w:rPr>
          <w:rFonts w:cs="Times New Roman"/>
          <w:sz w:val="20"/>
          <w:szCs w:val="20"/>
        </w:rPr>
      </w:pPr>
      <w:r w:rsidRPr="002901C0">
        <w:rPr>
          <w:rFonts w:cs="Times New Roman"/>
          <w:sz w:val="20"/>
          <w:szCs w:val="20"/>
        </w:rPr>
        <w:t>Import danych pacjenta przy rejestracji przypadku w oparciu o nr SIMP wraz z danymi z ankiety.</w:t>
      </w:r>
    </w:p>
    <w:p w14:paraId="05F6EE39" w14:textId="77777777" w:rsidR="003F012A" w:rsidRPr="002901C0" w:rsidRDefault="003F012A" w:rsidP="003F012A">
      <w:pPr>
        <w:pStyle w:val="Akapitzlist"/>
        <w:numPr>
          <w:ilvl w:val="1"/>
          <w:numId w:val="13"/>
        </w:numPr>
        <w:spacing w:after="120" w:line="276" w:lineRule="auto"/>
        <w:ind w:left="426"/>
        <w:jc w:val="both"/>
        <w:rPr>
          <w:rFonts w:cs="Times New Roman"/>
          <w:sz w:val="20"/>
          <w:szCs w:val="20"/>
        </w:rPr>
      </w:pPr>
      <w:r w:rsidRPr="002901C0">
        <w:rPr>
          <w:rFonts w:cs="Times New Roman"/>
          <w:sz w:val="20"/>
          <w:szCs w:val="20"/>
        </w:rPr>
        <w:t>Automatyczna zmiana hasła w SIMP bez ingerencji użytkownika i administratora.</w:t>
      </w:r>
    </w:p>
    <w:p w14:paraId="6D1DC650" w14:textId="77777777" w:rsidR="003F012A" w:rsidRPr="002901C0" w:rsidRDefault="003F012A" w:rsidP="003F012A">
      <w:pPr>
        <w:pStyle w:val="Akapitzlist"/>
        <w:numPr>
          <w:ilvl w:val="1"/>
          <w:numId w:val="13"/>
        </w:numPr>
        <w:spacing w:after="120" w:line="276" w:lineRule="auto"/>
        <w:ind w:left="426"/>
        <w:jc w:val="both"/>
        <w:rPr>
          <w:rFonts w:cs="Times New Roman"/>
          <w:sz w:val="20"/>
          <w:szCs w:val="20"/>
        </w:rPr>
      </w:pPr>
      <w:r w:rsidRPr="002901C0">
        <w:rPr>
          <w:rFonts w:cs="Times New Roman"/>
          <w:sz w:val="20"/>
          <w:szCs w:val="20"/>
        </w:rPr>
        <w:lastRenderedPageBreak/>
        <w:t>Jednoczesna obsługa wielu kont SIMP. Przypisywanie konta SIMP do wersji zlecającego. Zabezpieczenie przed przyjęciem i zarejestrowaniem przypadku na zlecającego niepowiązanego z kontem SIMP.</w:t>
      </w:r>
    </w:p>
    <w:p w14:paraId="08CED252" w14:textId="28738DFF" w:rsidR="003F012A" w:rsidRPr="00800C02" w:rsidRDefault="003F012A" w:rsidP="003F012A">
      <w:pPr>
        <w:pStyle w:val="Nagwek1"/>
        <w:numPr>
          <w:ilvl w:val="0"/>
          <w:numId w:val="13"/>
        </w:numPr>
        <w:tabs>
          <w:tab w:val="num" w:pos="720"/>
        </w:tabs>
        <w:ind w:left="720"/>
        <w:rPr>
          <w:rFonts w:asciiTheme="minorHAnsi" w:hAnsiTheme="minorHAnsi" w:cs="Times New Roman"/>
          <w:color w:val="auto"/>
          <w:sz w:val="20"/>
          <w:szCs w:val="20"/>
        </w:rPr>
      </w:pPr>
      <w:bookmarkStart w:id="44" w:name="_Toc203118696"/>
      <w:r w:rsidRPr="002901C0">
        <w:rPr>
          <w:rFonts w:asciiTheme="minorHAnsi" w:hAnsiTheme="minorHAnsi" w:cs="Times New Roman"/>
          <w:color w:val="auto"/>
          <w:sz w:val="20"/>
          <w:szCs w:val="20"/>
        </w:rPr>
        <w:t>Współpraca z Krajowym Rejestrem Nowotworów</w:t>
      </w:r>
      <w:bookmarkEnd w:id="44"/>
    </w:p>
    <w:p w14:paraId="01674997" w14:textId="77777777" w:rsidR="003F012A" w:rsidRPr="002901C0" w:rsidRDefault="003F012A" w:rsidP="003F012A">
      <w:pPr>
        <w:pStyle w:val="Akapitzlist"/>
        <w:numPr>
          <w:ilvl w:val="1"/>
          <w:numId w:val="13"/>
        </w:numPr>
        <w:spacing w:after="120" w:line="276" w:lineRule="auto"/>
        <w:ind w:left="426"/>
        <w:jc w:val="both"/>
        <w:rPr>
          <w:rFonts w:cs="Times New Roman"/>
          <w:sz w:val="20"/>
          <w:szCs w:val="20"/>
        </w:rPr>
      </w:pPr>
      <w:r w:rsidRPr="002901C0">
        <w:rPr>
          <w:rFonts w:cs="Times New Roman"/>
          <w:sz w:val="20"/>
          <w:szCs w:val="20"/>
        </w:rPr>
        <w:t>Integracja z Krajowym Rejestrem Nowotworów w zakresie zgłaszania elektronicznej Karty Zgłoszenia Nowotworu Złośliwego z automatycznym jej wypełnianiem danymi posiadanymi przez system.</w:t>
      </w:r>
    </w:p>
    <w:p w14:paraId="727EE95D" w14:textId="77777777" w:rsidR="003F012A" w:rsidRPr="002901C0" w:rsidRDefault="003F012A" w:rsidP="003F012A">
      <w:pPr>
        <w:pStyle w:val="Akapitzlist"/>
        <w:numPr>
          <w:ilvl w:val="1"/>
          <w:numId w:val="13"/>
        </w:numPr>
        <w:spacing w:after="120" w:line="276" w:lineRule="auto"/>
        <w:ind w:left="426"/>
        <w:jc w:val="both"/>
        <w:rPr>
          <w:rFonts w:cs="Times New Roman"/>
          <w:sz w:val="20"/>
          <w:szCs w:val="20"/>
        </w:rPr>
      </w:pPr>
      <w:r w:rsidRPr="002901C0">
        <w:rPr>
          <w:rFonts w:cs="Times New Roman"/>
          <w:sz w:val="20"/>
          <w:szCs w:val="20"/>
        </w:rPr>
        <w:t>Zakres przesyłanych danych musi być zgodny z Rozporządzeniem Ministra Zdrowia z dnia 14 czerwca 2018 r. w sprawie Krajowego Rejestru Nowotworów (Dz.U. 2018 poz. 1197), a system musi obsługiwać wszystkie pola formularza MZ/N-1a z możliwością uzupełnienia/poprawienia danych ręcznie.</w:t>
      </w:r>
    </w:p>
    <w:p w14:paraId="09CB87E1" w14:textId="77777777" w:rsidR="003F012A" w:rsidRPr="002901C0" w:rsidRDefault="003F012A" w:rsidP="003F012A">
      <w:pPr>
        <w:pStyle w:val="Akapitzlist"/>
        <w:numPr>
          <w:ilvl w:val="1"/>
          <w:numId w:val="13"/>
        </w:numPr>
        <w:spacing w:after="120" w:line="276" w:lineRule="auto"/>
        <w:ind w:left="426"/>
        <w:jc w:val="both"/>
        <w:rPr>
          <w:rFonts w:cs="Times New Roman"/>
          <w:sz w:val="20"/>
          <w:szCs w:val="20"/>
        </w:rPr>
      </w:pPr>
      <w:r w:rsidRPr="002901C0">
        <w:rPr>
          <w:rFonts w:cs="Times New Roman"/>
          <w:sz w:val="20"/>
          <w:szCs w:val="20"/>
        </w:rPr>
        <w:t>Obsługa zwrotnych informacji o błędach merytorycznych w Karcie Zgłoszenia, z możliwością ich ręcznego poprawienia i wysłania do KRN korekty danych. Możliwość wysłania nieograniczonej liczby korekt.</w:t>
      </w:r>
    </w:p>
    <w:p w14:paraId="602881C0" w14:textId="47227FEF" w:rsidR="003F012A" w:rsidRPr="002901C0" w:rsidRDefault="003F012A" w:rsidP="003F012A">
      <w:pPr>
        <w:pStyle w:val="Akapitzlist"/>
        <w:numPr>
          <w:ilvl w:val="1"/>
          <w:numId w:val="13"/>
        </w:numPr>
        <w:spacing w:after="120" w:line="276" w:lineRule="auto"/>
        <w:ind w:left="426"/>
        <w:jc w:val="both"/>
        <w:rPr>
          <w:rFonts w:cs="Times New Roman"/>
          <w:sz w:val="20"/>
          <w:szCs w:val="20"/>
        </w:rPr>
      </w:pPr>
      <w:r w:rsidRPr="002901C0">
        <w:rPr>
          <w:rFonts w:cs="Times New Roman"/>
          <w:sz w:val="20"/>
          <w:szCs w:val="20"/>
        </w:rPr>
        <w:t xml:space="preserve">Zamawiający </w:t>
      </w:r>
      <w:r w:rsidR="00A203DB">
        <w:rPr>
          <w:rFonts w:cs="Times New Roman"/>
          <w:sz w:val="20"/>
          <w:szCs w:val="20"/>
        </w:rPr>
        <w:t>wymaga</w:t>
      </w:r>
      <w:r w:rsidRPr="002901C0">
        <w:rPr>
          <w:rFonts w:cs="Times New Roman"/>
          <w:sz w:val="20"/>
          <w:szCs w:val="20"/>
        </w:rPr>
        <w:t xml:space="preserve"> integracji z KRN w trybie szyny integracyjnej eKRN+.</w:t>
      </w:r>
    </w:p>
    <w:p w14:paraId="5144AC38" w14:textId="43F8DC1F" w:rsidR="003F012A" w:rsidRPr="00800C02" w:rsidRDefault="003F012A" w:rsidP="003F012A">
      <w:pPr>
        <w:pStyle w:val="Nagwek1"/>
        <w:numPr>
          <w:ilvl w:val="0"/>
          <w:numId w:val="13"/>
        </w:numPr>
        <w:tabs>
          <w:tab w:val="num" w:pos="720"/>
        </w:tabs>
        <w:ind w:left="720"/>
        <w:rPr>
          <w:rFonts w:asciiTheme="minorHAnsi" w:hAnsiTheme="minorHAnsi" w:cs="Times New Roman"/>
          <w:color w:val="auto"/>
          <w:sz w:val="20"/>
          <w:szCs w:val="20"/>
        </w:rPr>
      </w:pPr>
      <w:bookmarkStart w:id="45" w:name="_Toc203118697"/>
      <w:r w:rsidRPr="002901C0">
        <w:rPr>
          <w:rFonts w:asciiTheme="minorHAnsi" w:hAnsiTheme="minorHAnsi" w:cs="Times New Roman"/>
          <w:color w:val="auto"/>
          <w:sz w:val="20"/>
          <w:szCs w:val="20"/>
        </w:rPr>
        <w:t>Współpraca z Systemem Informacji Medycznej (Platforma P1)</w:t>
      </w:r>
      <w:bookmarkEnd w:id="45"/>
    </w:p>
    <w:p w14:paraId="528FC1E6" w14:textId="77777777" w:rsidR="003F012A" w:rsidRPr="002901C0" w:rsidRDefault="003F012A" w:rsidP="003F012A">
      <w:pPr>
        <w:pStyle w:val="Akapitzlist"/>
        <w:numPr>
          <w:ilvl w:val="1"/>
          <w:numId w:val="13"/>
        </w:numPr>
        <w:spacing w:after="120" w:line="276" w:lineRule="auto"/>
        <w:ind w:left="426"/>
        <w:jc w:val="both"/>
        <w:rPr>
          <w:rFonts w:cs="Times New Roman"/>
          <w:sz w:val="20"/>
          <w:szCs w:val="20"/>
        </w:rPr>
      </w:pPr>
      <w:r w:rsidRPr="002901C0">
        <w:rPr>
          <w:rFonts w:cs="Times New Roman"/>
          <w:sz w:val="20"/>
          <w:szCs w:val="20"/>
        </w:rPr>
        <w:t>Realizacja obowiązku współpracy z Systemem P1 w zakresie zamieszczania wyników badań histopatologicznych zgodnie z art. 52 Ustawy o Krajowej Sieci Onkologicznej z dnia 9 marca 2023 r.</w:t>
      </w:r>
    </w:p>
    <w:p w14:paraId="700E816C" w14:textId="77777777" w:rsidR="003F012A" w:rsidRPr="002901C0" w:rsidRDefault="003F012A" w:rsidP="003F012A">
      <w:pPr>
        <w:pStyle w:val="Akapitzlist"/>
        <w:numPr>
          <w:ilvl w:val="2"/>
          <w:numId w:val="13"/>
        </w:numPr>
        <w:spacing w:after="120" w:line="276" w:lineRule="auto"/>
        <w:jc w:val="both"/>
        <w:rPr>
          <w:rFonts w:cs="Times New Roman"/>
          <w:sz w:val="20"/>
          <w:szCs w:val="20"/>
        </w:rPr>
      </w:pPr>
      <w:r w:rsidRPr="002901C0">
        <w:rPr>
          <w:rFonts w:cs="Times New Roman"/>
          <w:sz w:val="20"/>
          <w:szCs w:val="20"/>
        </w:rPr>
        <w:t>Integracja może być wykonana poprzez EDM systemu HIS lub poprzez dostarczenie dedykowanego rozwiązania współpracującego z oferowanym systemem.</w:t>
      </w:r>
    </w:p>
    <w:p w14:paraId="77880983" w14:textId="77777777" w:rsidR="003F012A" w:rsidRPr="002901C0" w:rsidRDefault="003F012A" w:rsidP="003F012A">
      <w:pPr>
        <w:pStyle w:val="Akapitzlist"/>
        <w:numPr>
          <w:ilvl w:val="1"/>
          <w:numId w:val="13"/>
        </w:numPr>
        <w:spacing w:after="120" w:line="276" w:lineRule="auto"/>
        <w:ind w:left="426"/>
        <w:jc w:val="both"/>
        <w:rPr>
          <w:rFonts w:cs="Times New Roman"/>
          <w:sz w:val="20"/>
          <w:szCs w:val="20"/>
        </w:rPr>
      </w:pPr>
      <w:r w:rsidRPr="002901C0">
        <w:rPr>
          <w:rFonts w:cs="Times New Roman"/>
          <w:sz w:val="20"/>
          <w:szCs w:val="20"/>
        </w:rPr>
        <w:t>Możliwość wyszukiwania dokumentów z Platformy P1 wg. kryteriów: data badania od - do, typ dokumentu, dziedzina medycyny oraz ich pobierania za pośrednictwem dedykowanego rozwiązania EDM współpracującego z oferowanym systemem.</w:t>
      </w:r>
    </w:p>
    <w:p w14:paraId="4BAADF26" w14:textId="480C9B76" w:rsidR="003F012A" w:rsidRPr="00800C02" w:rsidRDefault="003F012A" w:rsidP="003F012A">
      <w:pPr>
        <w:pStyle w:val="Nagwek1"/>
        <w:numPr>
          <w:ilvl w:val="0"/>
          <w:numId w:val="13"/>
        </w:numPr>
        <w:tabs>
          <w:tab w:val="num" w:pos="720"/>
        </w:tabs>
        <w:ind w:left="720"/>
        <w:rPr>
          <w:rFonts w:asciiTheme="minorHAnsi" w:hAnsiTheme="minorHAnsi" w:cs="Times New Roman"/>
          <w:color w:val="auto"/>
          <w:sz w:val="20"/>
          <w:szCs w:val="20"/>
        </w:rPr>
      </w:pPr>
      <w:bookmarkStart w:id="46" w:name="_Toc203118698"/>
      <w:r w:rsidRPr="002901C0">
        <w:rPr>
          <w:rFonts w:asciiTheme="minorHAnsi" w:hAnsiTheme="minorHAnsi" w:cs="Times New Roman"/>
          <w:color w:val="auto"/>
          <w:sz w:val="20"/>
          <w:szCs w:val="20"/>
        </w:rPr>
        <w:t>Współpraca z systemem eWUŚ</w:t>
      </w:r>
      <w:bookmarkEnd w:id="46"/>
    </w:p>
    <w:p w14:paraId="753FA1BF" w14:textId="77777777" w:rsidR="003F012A" w:rsidRPr="002901C0" w:rsidRDefault="003F012A" w:rsidP="003F012A">
      <w:pPr>
        <w:pStyle w:val="Akapitzlist"/>
        <w:numPr>
          <w:ilvl w:val="1"/>
          <w:numId w:val="13"/>
        </w:numPr>
        <w:spacing w:after="120" w:line="276" w:lineRule="auto"/>
        <w:ind w:left="426"/>
        <w:jc w:val="both"/>
        <w:rPr>
          <w:rFonts w:cs="Times New Roman"/>
          <w:sz w:val="20"/>
          <w:szCs w:val="20"/>
        </w:rPr>
      </w:pPr>
      <w:r w:rsidRPr="002901C0">
        <w:rPr>
          <w:rFonts w:cs="Times New Roman"/>
          <w:sz w:val="20"/>
          <w:szCs w:val="20"/>
        </w:rPr>
        <w:t>Możliwość sprawdzania uprawnień pacjenta do świadczeń medycznych, a także możliwość rejestracji przypadku na dane pacjenta uzyskane na podstawie numeru PESEL zweryfikowanego w eWUŚ.</w:t>
      </w:r>
    </w:p>
    <w:p w14:paraId="252D20A3" w14:textId="77777777" w:rsidR="003F012A" w:rsidRPr="002901C0" w:rsidRDefault="003F012A" w:rsidP="003F012A">
      <w:pPr>
        <w:pStyle w:val="Akapitzlist"/>
        <w:numPr>
          <w:ilvl w:val="1"/>
          <w:numId w:val="13"/>
        </w:numPr>
        <w:spacing w:after="120" w:line="276" w:lineRule="auto"/>
        <w:ind w:left="426"/>
        <w:jc w:val="both"/>
        <w:rPr>
          <w:rFonts w:cs="Times New Roman"/>
          <w:sz w:val="20"/>
          <w:szCs w:val="20"/>
        </w:rPr>
      </w:pPr>
      <w:r w:rsidRPr="002901C0">
        <w:rPr>
          <w:rFonts w:cs="Times New Roman"/>
          <w:sz w:val="20"/>
          <w:szCs w:val="20"/>
        </w:rPr>
        <w:t>Możliwość wymuszenia sprawdzenia pacjenta w eWUŚ w dniu zatwierdzenia wyniku.</w:t>
      </w:r>
    </w:p>
    <w:p w14:paraId="4F49D79E" w14:textId="77777777" w:rsidR="003F012A" w:rsidRPr="002901C0" w:rsidRDefault="003F012A" w:rsidP="003F012A">
      <w:pPr>
        <w:pStyle w:val="Akapitzlist"/>
        <w:numPr>
          <w:ilvl w:val="1"/>
          <w:numId w:val="13"/>
        </w:numPr>
        <w:spacing w:after="120" w:line="276" w:lineRule="auto"/>
        <w:ind w:left="426"/>
        <w:jc w:val="both"/>
        <w:rPr>
          <w:rFonts w:cs="Times New Roman"/>
          <w:sz w:val="20"/>
          <w:szCs w:val="20"/>
        </w:rPr>
      </w:pPr>
      <w:r w:rsidRPr="002901C0">
        <w:rPr>
          <w:rFonts w:cs="Times New Roman"/>
          <w:sz w:val="20"/>
          <w:szCs w:val="20"/>
        </w:rPr>
        <w:t>Możliwość ręcznego sprawdzenia pacjenta w eWUŚ w dowolnej chwili.</w:t>
      </w:r>
    </w:p>
    <w:p w14:paraId="5EE1B066" w14:textId="77777777" w:rsidR="003F012A" w:rsidRPr="002901C0" w:rsidRDefault="003F012A" w:rsidP="003F012A">
      <w:pPr>
        <w:pStyle w:val="Akapitzlist"/>
        <w:numPr>
          <w:ilvl w:val="1"/>
          <w:numId w:val="13"/>
        </w:numPr>
        <w:spacing w:after="120" w:line="276" w:lineRule="auto"/>
        <w:ind w:left="426"/>
        <w:jc w:val="both"/>
        <w:rPr>
          <w:rFonts w:cs="Times New Roman"/>
          <w:sz w:val="20"/>
          <w:szCs w:val="20"/>
        </w:rPr>
      </w:pPr>
      <w:r w:rsidRPr="002901C0">
        <w:rPr>
          <w:rFonts w:cs="Times New Roman"/>
          <w:sz w:val="20"/>
          <w:szCs w:val="20"/>
        </w:rPr>
        <w:t>Przechowywanie w bazie danych archiwalnych sprawdzeń pacjenta w kontekście przypadku.</w:t>
      </w:r>
    </w:p>
    <w:p w14:paraId="13391764" w14:textId="77777777" w:rsidR="003F012A" w:rsidRPr="002901C0" w:rsidRDefault="003F012A" w:rsidP="003F012A">
      <w:pPr>
        <w:pStyle w:val="Akapitzlist"/>
        <w:numPr>
          <w:ilvl w:val="1"/>
          <w:numId w:val="13"/>
        </w:numPr>
        <w:spacing w:after="120" w:line="276" w:lineRule="auto"/>
        <w:ind w:left="426"/>
        <w:jc w:val="both"/>
        <w:rPr>
          <w:rFonts w:cs="Times New Roman"/>
          <w:sz w:val="20"/>
          <w:szCs w:val="20"/>
        </w:rPr>
      </w:pPr>
      <w:r w:rsidRPr="002901C0">
        <w:rPr>
          <w:rFonts w:cs="Times New Roman"/>
          <w:sz w:val="20"/>
          <w:szCs w:val="20"/>
        </w:rPr>
        <w:t>Możliwość pobrania wprost z systemu pliku XML z potwierdzeniem statusu eWUŚ danego pacjenta.</w:t>
      </w:r>
    </w:p>
    <w:p w14:paraId="1043251B" w14:textId="77777777" w:rsidR="003F012A" w:rsidRPr="002901C0" w:rsidRDefault="003F012A" w:rsidP="003F012A">
      <w:pPr>
        <w:pStyle w:val="Akapitzlist"/>
        <w:numPr>
          <w:ilvl w:val="1"/>
          <w:numId w:val="13"/>
        </w:numPr>
        <w:spacing w:after="120" w:line="276" w:lineRule="auto"/>
        <w:ind w:left="426"/>
        <w:jc w:val="both"/>
        <w:rPr>
          <w:rFonts w:cs="Times New Roman"/>
          <w:sz w:val="20"/>
          <w:szCs w:val="20"/>
        </w:rPr>
      </w:pPr>
      <w:r w:rsidRPr="002901C0">
        <w:rPr>
          <w:rFonts w:cs="Times New Roman"/>
          <w:sz w:val="20"/>
          <w:szCs w:val="20"/>
        </w:rPr>
        <w:t>Automatyczna zmiana hasła w eWUŚ bez ingerencji użytkownika i administratora.</w:t>
      </w:r>
    </w:p>
    <w:p w14:paraId="7AF3451C" w14:textId="77777777" w:rsidR="003F012A" w:rsidRPr="002901C0" w:rsidRDefault="003F012A" w:rsidP="003F012A">
      <w:pPr>
        <w:pStyle w:val="Akapitzlist"/>
        <w:ind w:left="426"/>
        <w:jc w:val="both"/>
        <w:rPr>
          <w:rFonts w:cs="Times New Roman"/>
          <w:sz w:val="20"/>
          <w:szCs w:val="20"/>
        </w:rPr>
      </w:pPr>
    </w:p>
    <w:p w14:paraId="61AF4E3D" w14:textId="77777777" w:rsidR="003F012A" w:rsidRPr="002901C0" w:rsidRDefault="003F012A" w:rsidP="003F012A">
      <w:pPr>
        <w:rPr>
          <w:sz w:val="20"/>
          <w:szCs w:val="20"/>
          <w:lang w:eastAsia="pl-PL"/>
        </w:rPr>
      </w:pPr>
    </w:p>
    <w:p w14:paraId="7BE09654" w14:textId="77777777" w:rsidR="0090357B" w:rsidRDefault="0090357B"/>
    <w:sectPr w:rsidR="0090357B">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B0A96" w14:textId="77777777" w:rsidR="002535BC" w:rsidRDefault="002535BC" w:rsidP="000D688A">
      <w:pPr>
        <w:spacing w:after="0" w:line="240" w:lineRule="auto"/>
      </w:pPr>
      <w:r>
        <w:separator/>
      </w:r>
    </w:p>
  </w:endnote>
  <w:endnote w:type="continuationSeparator" w:id="0">
    <w:p w14:paraId="2797EA8A" w14:textId="77777777" w:rsidR="002535BC" w:rsidRDefault="002535BC" w:rsidP="000D6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MS Outlook">
    <w:panose1 w:val="0501010001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8B07E" w14:textId="77777777" w:rsidR="002535BC" w:rsidRDefault="002535BC" w:rsidP="000D688A">
      <w:pPr>
        <w:spacing w:after="0" w:line="240" w:lineRule="auto"/>
      </w:pPr>
      <w:r>
        <w:separator/>
      </w:r>
    </w:p>
  </w:footnote>
  <w:footnote w:type="continuationSeparator" w:id="0">
    <w:p w14:paraId="23DE2E15" w14:textId="77777777" w:rsidR="002535BC" w:rsidRDefault="002535BC" w:rsidP="000D68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94C65" w14:textId="46679B22" w:rsidR="000D688A" w:rsidRDefault="000D688A">
    <w:pPr>
      <w:pStyle w:val="Nagwek"/>
    </w:pPr>
    <w:r>
      <w:t xml:space="preserve">          </w:t>
    </w:r>
    <w:r>
      <w:rPr>
        <w:rFonts w:ascii="Times New Roman" w:eastAsia="MS Mincho" w:hAnsi="Times New Roman"/>
        <w:noProof/>
        <w:sz w:val="20"/>
        <w:szCs w:val="20"/>
      </w:rPr>
      <w:drawing>
        <wp:inline distT="0" distB="0" distL="0" distR="0" wp14:anchorId="7927DC66" wp14:editId="38988729">
          <wp:extent cx="5760720" cy="571500"/>
          <wp:effectExtent l="0" t="0" r="0" b="0"/>
          <wp:docPr id="203957231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1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10C27F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Symbol" w:hAnsi="Symbol" w:cs="Wingdings"/>
        <w:sz w:val="18"/>
        <w:szCs w:val="18"/>
        <w:lang w:val="pl-PL"/>
      </w:rPr>
    </w:lvl>
  </w:abstractNum>
  <w:abstractNum w:abstractNumId="2"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Symbol" w:hAnsi="Symbol" w:cs="Wingdings"/>
        <w:color w:val="000000"/>
        <w:sz w:val="18"/>
        <w:szCs w:val="18"/>
        <w:lang w:val="pl-PL"/>
      </w:rPr>
    </w:lvl>
  </w:abstractNum>
  <w:abstractNum w:abstractNumId="3"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cs="Symbol"/>
        <w:color w:val="000000"/>
        <w:sz w:val="20"/>
        <w:szCs w:val="20"/>
      </w:rPr>
    </w:lvl>
  </w:abstractNum>
  <w:abstractNum w:abstractNumId="4" w15:restartNumberingAfterBreak="0">
    <w:nsid w:val="0000000C"/>
    <w:multiLevelType w:val="singleLevel"/>
    <w:tmpl w:val="0000000C"/>
    <w:lvl w:ilvl="0">
      <w:start w:val="1"/>
      <w:numFmt w:val="bullet"/>
      <w:lvlText w:val=""/>
      <w:lvlJc w:val="left"/>
      <w:pPr>
        <w:tabs>
          <w:tab w:val="num" w:pos="360"/>
        </w:tabs>
        <w:ind w:left="360" w:hanging="360"/>
      </w:pPr>
      <w:rPr>
        <w:rFonts w:ascii="Symbol" w:hAnsi="Symbol" w:cs="Symbol"/>
        <w:sz w:val="22"/>
        <w:szCs w:val="22"/>
      </w:rPr>
    </w:lvl>
  </w:abstractNum>
  <w:abstractNum w:abstractNumId="5" w15:restartNumberingAfterBreak="0">
    <w:nsid w:val="141803D9"/>
    <w:multiLevelType w:val="multilevel"/>
    <w:tmpl w:val="6B028F80"/>
    <w:lvl w:ilvl="0">
      <w:start w:val="1"/>
      <w:numFmt w:val="decimal"/>
      <w:lvlText w:val="%1."/>
      <w:lvlJc w:val="left"/>
      <w:pPr>
        <w:ind w:left="786" w:hanging="360"/>
      </w:pPr>
      <w:rPr>
        <w:rFonts w:hint="default"/>
      </w:rPr>
    </w:lvl>
    <w:lvl w:ilvl="1">
      <w:start w:val="1"/>
      <w:numFmt w:val="decimal"/>
      <w:lvlText w:val="%1.%2."/>
      <w:lvlJc w:val="center"/>
      <w:pPr>
        <w:ind w:left="792" w:hanging="432"/>
      </w:pPr>
      <w:rPr>
        <w:rFonts w:hint="default"/>
      </w:rPr>
    </w:lvl>
    <w:lvl w:ilvl="2">
      <w:start w:val="1"/>
      <w:numFmt w:val="decimal"/>
      <w:lvlText w:val="%1.%2.%3."/>
      <w:lvlJc w:val="center"/>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5214A2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FE4B9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4F6CC8"/>
    <w:multiLevelType w:val="hybridMultilevel"/>
    <w:tmpl w:val="61BCFEF4"/>
    <w:lvl w:ilvl="0" w:tplc="11A2BCF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E105EF3"/>
    <w:multiLevelType w:val="multilevel"/>
    <w:tmpl w:val="C71C0CF8"/>
    <w:lvl w:ilvl="0">
      <w:start w:val="11"/>
      <w:numFmt w:val="decimal"/>
      <w:lvlText w:val="%1"/>
      <w:lvlJc w:val="left"/>
      <w:pPr>
        <w:ind w:left="585" w:hanging="585"/>
      </w:pPr>
      <w:rPr>
        <w:rFonts w:hint="default"/>
      </w:rPr>
    </w:lvl>
    <w:lvl w:ilvl="1">
      <w:start w:val="4"/>
      <w:numFmt w:val="decimal"/>
      <w:lvlText w:val="%1.%2"/>
      <w:lvlJc w:val="left"/>
      <w:pPr>
        <w:ind w:left="868" w:hanging="585"/>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3340548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8CB0855"/>
    <w:multiLevelType w:val="hybridMultilevel"/>
    <w:tmpl w:val="B0A88D3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2" w15:restartNumberingAfterBreak="0">
    <w:nsid w:val="3D593863"/>
    <w:multiLevelType w:val="hybridMultilevel"/>
    <w:tmpl w:val="CEB0C298"/>
    <w:lvl w:ilvl="0" w:tplc="00000005">
      <w:start w:val="1"/>
      <w:numFmt w:val="bullet"/>
      <w:lvlText w:val=""/>
      <w:lvlJc w:val="left"/>
      <w:pPr>
        <w:ind w:left="360" w:hanging="360"/>
      </w:pPr>
      <w:rPr>
        <w:rFonts w:ascii="Symbol" w:hAnsi="Symbol" w:cs="Symbol"/>
        <w:sz w:val="22"/>
        <w:szCs w:val="22"/>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3" w15:restartNumberingAfterBreak="0">
    <w:nsid w:val="41343759"/>
    <w:multiLevelType w:val="multilevel"/>
    <w:tmpl w:val="2E3E5BF8"/>
    <w:lvl w:ilvl="0">
      <w:start w:val="11"/>
      <w:numFmt w:val="decimal"/>
      <w:lvlText w:val="%1"/>
      <w:lvlJc w:val="left"/>
      <w:pPr>
        <w:ind w:left="585" w:hanging="585"/>
      </w:pPr>
      <w:rPr>
        <w:rFonts w:hint="default"/>
      </w:rPr>
    </w:lvl>
    <w:lvl w:ilvl="1">
      <w:start w:val="5"/>
      <w:numFmt w:val="decimal"/>
      <w:lvlText w:val="%1.%2"/>
      <w:lvlJc w:val="left"/>
      <w:pPr>
        <w:ind w:left="940" w:hanging="585"/>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4" w15:restartNumberingAfterBreak="0">
    <w:nsid w:val="413B24AB"/>
    <w:multiLevelType w:val="hybridMultilevel"/>
    <w:tmpl w:val="B8E6F456"/>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5" w15:restartNumberingAfterBreak="0">
    <w:nsid w:val="47752595"/>
    <w:multiLevelType w:val="hybridMultilevel"/>
    <w:tmpl w:val="25FCBDF6"/>
    <w:lvl w:ilvl="0" w:tplc="6ECE365E">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6" w15:restartNumberingAfterBreak="0">
    <w:nsid w:val="666B570E"/>
    <w:multiLevelType w:val="multilevel"/>
    <w:tmpl w:val="513A9468"/>
    <w:lvl w:ilvl="0">
      <w:start w:val="1"/>
      <w:numFmt w:val="decimal"/>
      <w:lvlText w:val="%1."/>
      <w:lvlJc w:val="left"/>
      <w:pPr>
        <w:ind w:left="360" w:hanging="360"/>
      </w:pPr>
      <w:rPr>
        <w:rFonts w:hint="default"/>
        <w:b w:val="0"/>
        <w:bCs/>
      </w:rPr>
    </w:lvl>
    <w:lvl w:ilvl="1">
      <w:start w:val="1"/>
      <w:numFmt w:val="decimal"/>
      <w:lvlText w:val="%1.%2."/>
      <w:lvlJc w:val="left"/>
      <w:pPr>
        <w:ind w:left="907" w:hanging="547"/>
      </w:pPr>
      <w:rPr>
        <w:rFonts w:hint="default"/>
      </w:rPr>
    </w:lvl>
    <w:lvl w:ilvl="2">
      <w:start w:val="1"/>
      <w:numFmt w:val="decimal"/>
      <w:lvlText w:val="%1.%2.%3."/>
      <w:lvlJc w:val="left"/>
      <w:pPr>
        <w:ind w:left="1719" w:hanging="584"/>
      </w:pPr>
      <w:rPr>
        <w:rFonts w:hint="default"/>
      </w:rPr>
    </w:lvl>
    <w:lvl w:ilvl="3">
      <w:start w:val="1"/>
      <w:numFmt w:val="decimal"/>
      <w:lvlText w:val="%1.%2.%3.%4."/>
      <w:lvlJc w:val="left"/>
      <w:pPr>
        <w:ind w:left="1814" w:hanging="73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3F7CD1"/>
    <w:multiLevelType w:val="hybridMultilevel"/>
    <w:tmpl w:val="E85A6C80"/>
    <w:lvl w:ilvl="0" w:tplc="6AF4801A">
      <w:start w:val="11"/>
      <w:numFmt w:val="decimal"/>
      <w:lvlText w:val="%1."/>
      <w:lvlJc w:val="left"/>
      <w:pPr>
        <w:ind w:left="946" w:hanging="5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71BD3BBB"/>
    <w:multiLevelType w:val="hybridMultilevel"/>
    <w:tmpl w:val="6714FC20"/>
    <w:lvl w:ilvl="0" w:tplc="00000005">
      <w:start w:val="1"/>
      <w:numFmt w:val="bullet"/>
      <w:lvlText w:val=""/>
      <w:lvlJc w:val="left"/>
      <w:pPr>
        <w:ind w:left="360" w:hanging="360"/>
      </w:pPr>
      <w:rPr>
        <w:rFonts w:ascii="Symbol" w:hAnsi="Symbol" w:cs="Symbol"/>
        <w:sz w:val="22"/>
        <w:szCs w:val="22"/>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9" w15:restartNumberingAfterBreak="0">
    <w:nsid w:val="78BD33C9"/>
    <w:multiLevelType w:val="multilevel"/>
    <w:tmpl w:val="EDC8B512"/>
    <w:lvl w:ilvl="0">
      <w:start w:val="6"/>
      <w:numFmt w:val="decimal"/>
      <w:lvlText w:val="%1."/>
      <w:lvlJc w:val="left"/>
      <w:pPr>
        <w:ind w:left="786" w:hanging="360"/>
      </w:pPr>
      <w:rPr>
        <w:rFonts w:hint="default"/>
      </w:rPr>
    </w:lvl>
    <w:lvl w:ilvl="1">
      <w:start w:val="1"/>
      <w:numFmt w:val="decimal"/>
      <w:lvlText w:val="%1.%2."/>
      <w:lvlJc w:val="center"/>
      <w:pPr>
        <w:ind w:left="792" w:hanging="432"/>
      </w:pPr>
      <w:rPr>
        <w:rFonts w:hint="default"/>
      </w:rPr>
    </w:lvl>
    <w:lvl w:ilvl="2">
      <w:start w:val="1"/>
      <w:numFmt w:val="decimal"/>
      <w:lvlText w:val="%1.%2.%3."/>
      <w:lvlJc w:val="center"/>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FA77CEB"/>
    <w:multiLevelType w:val="hybridMultilevel"/>
    <w:tmpl w:val="2F507786"/>
    <w:lvl w:ilvl="0" w:tplc="0000000A">
      <w:start w:val="1"/>
      <w:numFmt w:val="bullet"/>
      <w:lvlText w:val=""/>
      <w:lvlJc w:val="left"/>
      <w:pPr>
        <w:ind w:left="720" w:hanging="360"/>
      </w:pPr>
      <w:rPr>
        <w:rFonts w:ascii="Symbol" w:hAnsi="Symbol" w:cs="Symbol"/>
        <w:color w:val="000000"/>
        <w:sz w:val="20"/>
        <w:szCs w:val="2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1250768156">
    <w:abstractNumId w:val="5"/>
  </w:num>
  <w:num w:numId="2" w16cid:durableId="918950486">
    <w:abstractNumId w:val="3"/>
  </w:num>
  <w:num w:numId="3" w16cid:durableId="1372415446">
    <w:abstractNumId w:val="11"/>
  </w:num>
  <w:num w:numId="4" w16cid:durableId="811289815">
    <w:abstractNumId w:val="2"/>
  </w:num>
  <w:num w:numId="5" w16cid:durableId="815874210">
    <w:abstractNumId w:val="20"/>
  </w:num>
  <w:num w:numId="6" w16cid:durableId="1800224374">
    <w:abstractNumId w:val="4"/>
  </w:num>
  <w:num w:numId="7" w16cid:durableId="802577740">
    <w:abstractNumId w:val="18"/>
  </w:num>
  <w:num w:numId="8" w16cid:durableId="1696270934">
    <w:abstractNumId w:val="12"/>
  </w:num>
  <w:num w:numId="9" w16cid:durableId="470443888">
    <w:abstractNumId w:val="1"/>
  </w:num>
  <w:num w:numId="10" w16cid:durableId="1335301133">
    <w:abstractNumId w:val="14"/>
  </w:num>
  <w:num w:numId="11" w16cid:durableId="334259814">
    <w:abstractNumId w:val="17"/>
  </w:num>
  <w:num w:numId="12" w16cid:durableId="1281765203">
    <w:abstractNumId w:val="10"/>
  </w:num>
  <w:num w:numId="13" w16cid:durableId="1332945772">
    <w:abstractNumId w:val="7"/>
  </w:num>
  <w:num w:numId="14" w16cid:durableId="1781681654">
    <w:abstractNumId w:val="16"/>
  </w:num>
  <w:num w:numId="15" w16cid:durableId="1896238067">
    <w:abstractNumId w:val="9"/>
  </w:num>
  <w:num w:numId="16" w16cid:durableId="1597516681">
    <w:abstractNumId w:val="13"/>
  </w:num>
  <w:num w:numId="17" w16cid:durableId="983894170">
    <w:abstractNumId w:val="15"/>
  </w:num>
  <w:num w:numId="18" w16cid:durableId="1708068622">
    <w:abstractNumId w:val="8"/>
  </w:num>
  <w:num w:numId="19" w16cid:durableId="1947613748">
    <w:abstractNumId w:val="6"/>
  </w:num>
  <w:num w:numId="20" w16cid:durableId="352613196">
    <w:abstractNumId w:val="0"/>
  </w:num>
  <w:num w:numId="21" w16cid:durableId="1897080316">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12A"/>
    <w:rsid w:val="00002C77"/>
    <w:rsid w:val="00032EEB"/>
    <w:rsid w:val="00055F9A"/>
    <w:rsid w:val="00092974"/>
    <w:rsid w:val="000B248C"/>
    <w:rsid w:val="000D688A"/>
    <w:rsid w:val="000F08DA"/>
    <w:rsid w:val="001045A4"/>
    <w:rsid w:val="00132128"/>
    <w:rsid w:val="001D086F"/>
    <w:rsid w:val="002051D4"/>
    <w:rsid w:val="002471F7"/>
    <w:rsid w:val="002535BC"/>
    <w:rsid w:val="002C5679"/>
    <w:rsid w:val="00322949"/>
    <w:rsid w:val="0037587A"/>
    <w:rsid w:val="0038735E"/>
    <w:rsid w:val="003B5E88"/>
    <w:rsid w:val="003C71D6"/>
    <w:rsid w:val="003F012A"/>
    <w:rsid w:val="00482AB5"/>
    <w:rsid w:val="00591F67"/>
    <w:rsid w:val="006969B9"/>
    <w:rsid w:val="006C3782"/>
    <w:rsid w:val="00735957"/>
    <w:rsid w:val="00764CB6"/>
    <w:rsid w:val="007942C7"/>
    <w:rsid w:val="007D31C2"/>
    <w:rsid w:val="00800C02"/>
    <w:rsid w:val="00826CA4"/>
    <w:rsid w:val="008D045E"/>
    <w:rsid w:val="009022B3"/>
    <w:rsid w:val="0090357B"/>
    <w:rsid w:val="00907517"/>
    <w:rsid w:val="00914EDC"/>
    <w:rsid w:val="00946CBE"/>
    <w:rsid w:val="009554A4"/>
    <w:rsid w:val="009C226A"/>
    <w:rsid w:val="00A125A0"/>
    <w:rsid w:val="00A203DB"/>
    <w:rsid w:val="00A3602F"/>
    <w:rsid w:val="00A7136B"/>
    <w:rsid w:val="00A73362"/>
    <w:rsid w:val="00B757D0"/>
    <w:rsid w:val="00B85C0D"/>
    <w:rsid w:val="00B95395"/>
    <w:rsid w:val="00BF6190"/>
    <w:rsid w:val="00C53C05"/>
    <w:rsid w:val="00C66DAF"/>
    <w:rsid w:val="00C701B8"/>
    <w:rsid w:val="00C812DE"/>
    <w:rsid w:val="00CC39DC"/>
    <w:rsid w:val="00CC5C6A"/>
    <w:rsid w:val="00D065DE"/>
    <w:rsid w:val="00D14BE6"/>
    <w:rsid w:val="00D314A3"/>
    <w:rsid w:val="00D53C91"/>
    <w:rsid w:val="00D915E6"/>
    <w:rsid w:val="00F00484"/>
    <w:rsid w:val="00F41948"/>
    <w:rsid w:val="00F62542"/>
    <w:rsid w:val="00F675C4"/>
    <w:rsid w:val="00F84F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F99AE"/>
  <w15:chartTrackingRefBased/>
  <w15:docId w15:val="{23DA346C-8BDA-0247-A342-765B6B34A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F012A"/>
  </w:style>
  <w:style w:type="paragraph" w:styleId="Nagwek1">
    <w:name w:val="heading 1"/>
    <w:basedOn w:val="Normalny"/>
    <w:next w:val="Normalny"/>
    <w:link w:val="Nagwek1Znak"/>
    <w:uiPriority w:val="9"/>
    <w:qFormat/>
    <w:rsid w:val="003F01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3F01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3F012A"/>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3F012A"/>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3F012A"/>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3F012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F012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F012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F012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F012A"/>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3F012A"/>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3F012A"/>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3F012A"/>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3F012A"/>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3F012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F012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F012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F012A"/>
    <w:rPr>
      <w:rFonts w:eastAsiaTheme="majorEastAsia" w:cstheme="majorBidi"/>
      <w:color w:val="272727" w:themeColor="text1" w:themeTint="D8"/>
    </w:rPr>
  </w:style>
  <w:style w:type="paragraph" w:styleId="Tytu">
    <w:name w:val="Title"/>
    <w:basedOn w:val="Normalny"/>
    <w:next w:val="Normalny"/>
    <w:link w:val="TytuZnak"/>
    <w:uiPriority w:val="10"/>
    <w:qFormat/>
    <w:rsid w:val="003F01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F012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F012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F012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F012A"/>
    <w:pPr>
      <w:spacing w:before="160"/>
      <w:jc w:val="center"/>
    </w:pPr>
    <w:rPr>
      <w:i/>
      <w:iCs/>
      <w:color w:val="404040" w:themeColor="text1" w:themeTint="BF"/>
    </w:rPr>
  </w:style>
  <w:style w:type="character" w:customStyle="1" w:styleId="CytatZnak">
    <w:name w:val="Cytat Znak"/>
    <w:basedOn w:val="Domylnaczcionkaakapitu"/>
    <w:link w:val="Cytat"/>
    <w:uiPriority w:val="29"/>
    <w:rsid w:val="003F012A"/>
    <w:rPr>
      <w:i/>
      <w:iCs/>
      <w:color w:val="404040" w:themeColor="text1" w:themeTint="BF"/>
    </w:rPr>
  </w:style>
  <w:style w:type="paragraph" w:styleId="Akapitzlist">
    <w:name w:val="List Paragraph"/>
    <w:aliases w:val="Numerowanie,L1,Akapit z listą BS,Bulleted list,Odstavec,Podsis rysunku,Akapit z listą5,T_SZ_List Paragraph,sw tekst,CW_Lista,Akapit z listą numerowaną,lp1,Bullet List,FooterText,numbered,Paragraphe de liste1,列出段落,列出段落1"/>
    <w:basedOn w:val="Normalny"/>
    <w:link w:val="AkapitzlistZnak"/>
    <w:uiPriority w:val="34"/>
    <w:qFormat/>
    <w:rsid w:val="003F012A"/>
    <w:pPr>
      <w:ind w:left="720"/>
      <w:contextualSpacing/>
    </w:pPr>
  </w:style>
  <w:style w:type="character" w:styleId="Wyrnienieintensywne">
    <w:name w:val="Intense Emphasis"/>
    <w:basedOn w:val="Domylnaczcionkaakapitu"/>
    <w:uiPriority w:val="21"/>
    <w:qFormat/>
    <w:rsid w:val="003F012A"/>
    <w:rPr>
      <w:i/>
      <w:iCs/>
      <w:color w:val="0F4761" w:themeColor="accent1" w:themeShade="BF"/>
    </w:rPr>
  </w:style>
  <w:style w:type="paragraph" w:styleId="Cytatintensywny">
    <w:name w:val="Intense Quote"/>
    <w:basedOn w:val="Normalny"/>
    <w:next w:val="Normalny"/>
    <w:link w:val="CytatintensywnyZnak"/>
    <w:uiPriority w:val="30"/>
    <w:qFormat/>
    <w:rsid w:val="003F01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3F012A"/>
    <w:rPr>
      <w:i/>
      <w:iCs/>
      <w:color w:val="0F4761" w:themeColor="accent1" w:themeShade="BF"/>
    </w:rPr>
  </w:style>
  <w:style w:type="character" w:styleId="Odwoanieintensywne">
    <w:name w:val="Intense Reference"/>
    <w:basedOn w:val="Domylnaczcionkaakapitu"/>
    <w:uiPriority w:val="32"/>
    <w:qFormat/>
    <w:rsid w:val="003F012A"/>
    <w:rPr>
      <w:b/>
      <w:bCs/>
      <w:smallCaps/>
      <w:color w:val="0F4761" w:themeColor="accent1" w:themeShade="BF"/>
      <w:spacing w:val="5"/>
    </w:rPr>
  </w:style>
  <w:style w:type="character" w:styleId="Pogrubienie">
    <w:name w:val="Strong"/>
    <w:basedOn w:val="Domylnaczcionkaakapitu"/>
    <w:uiPriority w:val="22"/>
    <w:qFormat/>
    <w:rsid w:val="003F012A"/>
    <w:rPr>
      <w:b/>
      <w:bCs/>
    </w:rPr>
  </w:style>
  <w:style w:type="paragraph" w:styleId="NormalnyWeb">
    <w:name w:val="Normal (Web)"/>
    <w:basedOn w:val="Normalny"/>
    <w:uiPriority w:val="99"/>
    <w:semiHidden/>
    <w:unhideWhenUsed/>
    <w:rsid w:val="003F012A"/>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apple-converted-space">
    <w:name w:val="apple-converted-space"/>
    <w:basedOn w:val="Domylnaczcionkaakapitu"/>
    <w:rsid w:val="003F012A"/>
  </w:style>
  <w:style w:type="paragraph" w:customStyle="1" w:styleId="Tabelapozycja">
    <w:name w:val="Tabela pozycja"/>
    <w:basedOn w:val="Normalny"/>
    <w:rsid w:val="003F012A"/>
    <w:pPr>
      <w:spacing w:after="0" w:line="240" w:lineRule="auto"/>
    </w:pPr>
    <w:rPr>
      <w:rFonts w:ascii="Arial" w:eastAsia="MS Outlook" w:hAnsi="Arial" w:cs="Times New Roman"/>
      <w:kern w:val="0"/>
      <w:sz w:val="22"/>
      <w:szCs w:val="20"/>
      <w:lang w:eastAsia="pl-PL"/>
      <w14:ligatures w14:val="none"/>
    </w:rPr>
  </w:style>
  <w:style w:type="paragraph" w:styleId="Nagwekspisutreci">
    <w:name w:val="TOC Heading"/>
    <w:basedOn w:val="Nagwek1"/>
    <w:next w:val="Normalny"/>
    <w:uiPriority w:val="39"/>
    <w:unhideWhenUsed/>
    <w:qFormat/>
    <w:rsid w:val="003F012A"/>
    <w:pPr>
      <w:spacing w:before="240" w:after="0" w:line="259" w:lineRule="auto"/>
      <w:outlineLvl w:val="9"/>
    </w:pPr>
    <w:rPr>
      <w:kern w:val="0"/>
      <w:sz w:val="32"/>
      <w:szCs w:val="32"/>
      <w:lang w:eastAsia="pl-PL"/>
      <w14:ligatures w14:val="none"/>
    </w:rPr>
  </w:style>
  <w:style w:type="paragraph" w:styleId="Spistreci1">
    <w:name w:val="toc 1"/>
    <w:basedOn w:val="Normalny"/>
    <w:next w:val="Normalny"/>
    <w:autoRedefine/>
    <w:uiPriority w:val="39"/>
    <w:unhideWhenUsed/>
    <w:rsid w:val="003F012A"/>
    <w:pPr>
      <w:spacing w:after="100" w:line="276" w:lineRule="auto"/>
    </w:pPr>
  </w:style>
  <w:style w:type="character" w:styleId="Hipercze">
    <w:name w:val="Hyperlink"/>
    <w:basedOn w:val="Domylnaczcionkaakapitu"/>
    <w:uiPriority w:val="99"/>
    <w:unhideWhenUsed/>
    <w:rsid w:val="003F012A"/>
    <w:rPr>
      <w:color w:val="467886" w:themeColor="hyperlink"/>
      <w:u w:val="single"/>
    </w:rPr>
  </w:style>
  <w:style w:type="character" w:styleId="Odwoaniedokomentarza">
    <w:name w:val="annotation reference"/>
    <w:basedOn w:val="Domylnaczcionkaakapitu"/>
    <w:uiPriority w:val="99"/>
    <w:semiHidden/>
    <w:unhideWhenUsed/>
    <w:rsid w:val="003F012A"/>
    <w:rPr>
      <w:sz w:val="16"/>
      <w:szCs w:val="16"/>
    </w:rPr>
  </w:style>
  <w:style w:type="paragraph" w:styleId="Tekstkomentarza">
    <w:name w:val="annotation text"/>
    <w:basedOn w:val="Normalny"/>
    <w:link w:val="TekstkomentarzaZnak"/>
    <w:uiPriority w:val="99"/>
    <w:unhideWhenUsed/>
    <w:rsid w:val="003F012A"/>
    <w:pPr>
      <w:spacing w:after="120" w:line="240" w:lineRule="auto"/>
    </w:pPr>
    <w:rPr>
      <w:sz w:val="20"/>
      <w:szCs w:val="20"/>
    </w:rPr>
  </w:style>
  <w:style w:type="character" w:customStyle="1" w:styleId="TekstkomentarzaZnak">
    <w:name w:val="Tekst komentarza Znak"/>
    <w:basedOn w:val="Domylnaczcionkaakapitu"/>
    <w:link w:val="Tekstkomentarza"/>
    <w:uiPriority w:val="99"/>
    <w:rsid w:val="003F012A"/>
    <w:rPr>
      <w:sz w:val="20"/>
      <w:szCs w:val="20"/>
    </w:rPr>
  </w:style>
  <w:style w:type="character" w:customStyle="1" w:styleId="AkapitzlistZnak">
    <w:name w:val="Akapit z listą Znak"/>
    <w:aliases w:val="Numerowanie Znak,L1 Znak,Akapit z listą BS Znak,Bulleted list Znak,Odstavec Znak,Podsis rysunku Znak,Akapit z listą5 Znak,T_SZ_List Paragraph Znak,sw tekst Znak,CW_Lista Znak,Akapit z listą numerowaną Znak,lp1 Znak,Bullet List Znak"/>
    <w:link w:val="Akapitzlist"/>
    <w:uiPriority w:val="34"/>
    <w:qFormat/>
    <w:locked/>
    <w:rsid w:val="003F012A"/>
  </w:style>
  <w:style w:type="paragraph" w:styleId="Bezodstpw">
    <w:name w:val="No Spacing"/>
    <w:uiPriority w:val="1"/>
    <w:qFormat/>
    <w:rsid w:val="003F012A"/>
    <w:pPr>
      <w:spacing w:after="0" w:line="240" w:lineRule="auto"/>
    </w:pPr>
  </w:style>
  <w:style w:type="table" w:styleId="Tabela-Siatka">
    <w:name w:val="Table Grid"/>
    <w:basedOn w:val="Standardowy"/>
    <w:uiPriority w:val="59"/>
    <w:rsid w:val="003F012A"/>
    <w:pPr>
      <w:spacing w:after="0" w:line="240" w:lineRule="auto"/>
    </w:pPr>
    <w:rPr>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3F012A"/>
    <w:pPr>
      <w:autoSpaceDE w:val="0"/>
      <w:autoSpaceDN w:val="0"/>
      <w:adjustRightInd w:val="0"/>
      <w:spacing w:after="0" w:line="240" w:lineRule="auto"/>
    </w:pPr>
    <w:rPr>
      <w:rFonts w:ascii="Times New Roman" w:hAnsi="Times New Roman" w:cs="Times New Roman"/>
      <w:color w:val="000000"/>
      <w:kern w:val="0"/>
    </w:rPr>
  </w:style>
  <w:style w:type="paragraph" w:styleId="Zwykytekst">
    <w:name w:val="Plain Text"/>
    <w:basedOn w:val="Normalny"/>
    <w:link w:val="ZwykytekstZnak"/>
    <w:uiPriority w:val="99"/>
    <w:unhideWhenUsed/>
    <w:rsid w:val="003F012A"/>
    <w:pPr>
      <w:spacing w:after="0" w:line="240" w:lineRule="auto"/>
    </w:pPr>
    <w:rPr>
      <w:rFonts w:ascii="Calibri" w:eastAsia="SimSun" w:hAnsi="Calibri"/>
      <w:kern w:val="0"/>
      <w:sz w:val="22"/>
      <w:szCs w:val="21"/>
      <w14:ligatures w14:val="none"/>
    </w:rPr>
  </w:style>
  <w:style w:type="character" w:customStyle="1" w:styleId="ZwykytekstZnak">
    <w:name w:val="Zwykły tekst Znak"/>
    <w:basedOn w:val="Domylnaczcionkaakapitu"/>
    <w:link w:val="Zwykytekst"/>
    <w:uiPriority w:val="99"/>
    <w:rsid w:val="003F012A"/>
    <w:rPr>
      <w:rFonts w:ascii="Calibri" w:eastAsia="SimSun" w:hAnsi="Calibri"/>
      <w:kern w:val="0"/>
      <w:sz w:val="22"/>
      <w:szCs w:val="21"/>
      <w14:ligatures w14:val="none"/>
    </w:rPr>
  </w:style>
  <w:style w:type="character" w:customStyle="1" w:styleId="normaltextrun">
    <w:name w:val="normaltextrun"/>
    <w:basedOn w:val="Domylnaczcionkaakapitu"/>
    <w:rsid w:val="003F012A"/>
  </w:style>
  <w:style w:type="character" w:customStyle="1" w:styleId="eop">
    <w:name w:val="eop"/>
    <w:basedOn w:val="Domylnaczcionkaakapitu"/>
    <w:rsid w:val="003F012A"/>
  </w:style>
  <w:style w:type="paragraph" w:styleId="Listapunktowana">
    <w:name w:val="List Bullet"/>
    <w:basedOn w:val="Normalny"/>
    <w:uiPriority w:val="99"/>
    <w:semiHidden/>
    <w:unhideWhenUsed/>
    <w:rsid w:val="003F012A"/>
    <w:pPr>
      <w:numPr>
        <w:numId w:val="20"/>
      </w:numPr>
      <w:tabs>
        <w:tab w:val="clear" w:pos="360"/>
      </w:tabs>
      <w:spacing w:after="200" w:line="276" w:lineRule="auto"/>
      <w:ind w:left="0" w:firstLine="0"/>
      <w:contextualSpacing/>
    </w:pPr>
    <w:rPr>
      <w:rFonts w:ascii="Aptos" w:hAnsi="Aptos" w:cs="Aptos"/>
      <w:kern w:val="0"/>
      <w:sz w:val="22"/>
      <w:szCs w:val="22"/>
      <w14:ligatures w14:val="none"/>
    </w:rPr>
  </w:style>
  <w:style w:type="paragraph" w:styleId="Nagwek">
    <w:name w:val="header"/>
    <w:basedOn w:val="Normalny"/>
    <w:link w:val="NagwekZnak"/>
    <w:uiPriority w:val="99"/>
    <w:unhideWhenUsed/>
    <w:rsid w:val="000D688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D688A"/>
  </w:style>
  <w:style w:type="paragraph" w:styleId="Stopka">
    <w:name w:val="footer"/>
    <w:basedOn w:val="Normalny"/>
    <w:link w:val="StopkaZnak"/>
    <w:uiPriority w:val="99"/>
    <w:unhideWhenUsed/>
    <w:rsid w:val="000D688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D688A"/>
  </w:style>
  <w:style w:type="paragraph" w:styleId="Poprawka">
    <w:name w:val="Revision"/>
    <w:hidden/>
    <w:uiPriority w:val="99"/>
    <w:semiHidden/>
    <w:rsid w:val="009554A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39</Pages>
  <Words>17244</Words>
  <Characters>103470</Characters>
  <Application>Microsoft Office Word</Application>
  <DocSecurity>0</DocSecurity>
  <Lines>862</Lines>
  <Paragraphs>240</Paragraphs>
  <ScaleCrop>false</ScaleCrop>
  <Company/>
  <LinksUpToDate>false</LinksUpToDate>
  <CharactersWithSpaces>120474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Michalak</dc:creator>
  <cp:keywords/>
  <dc:description/>
  <cp:lastModifiedBy>Szpital Ino</cp:lastModifiedBy>
  <cp:revision>40</cp:revision>
  <dcterms:created xsi:type="dcterms:W3CDTF">2026-01-23T06:52:00Z</dcterms:created>
  <dcterms:modified xsi:type="dcterms:W3CDTF">2026-04-22T09:44:00Z</dcterms:modified>
</cp:coreProperties>
</file>